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8366" w14:textId="77777777" w:rsidR="00C923C4" w:rsidRDefault="00C923C4" w:rsidP="006555AD">
      <w:pPr>
        <w:spacing w:line="276" w:lineRule="auto"/>
        <w:rPr>
          <w:b/>
          <w:bCs/>
        </w:rPr>
      </w:pPr>
    </w:p>
    <w:p w14:paraId="296BD3B8" w14:textId="1D18932B" w:rsidR="00C923C4" w:rsidRPr="00C923C4" w:rsidRDefault="00C923C4" w:rsidP="002E2B0D">
      <w:pPr>
        <w:spacing w:line="276" w:lineRule="auto"/>
        <w:jc w:val="center"/>
        <w:outlineLvl w:val="0"/>
        <w:rPr>
          <w:b/>
          <w:bCs/>
        </w:rPr>
      </w:pPr>
      <w:r w:rsidRPr="00C923C4">
        <w:rPr>
          <w:b/>
          <w:bCs/>
        </w:rPr>
        <w:t>L</w:t>
      </w:r>
      <w:r w:rsidR="00C46822">
        <w:rPr>
          <w:b/>
          <w:bCs/>
        </w:rPr>
        <w:t>’</w:t>
      </w:r>
      <w:r w:rsidRPr="00C923C4">
        <w:rPr>
          <w:b/>
          <w:bCs/>
        </w:rPr>
        <w:t>U</w:t>
      </w:r>
      <w:r>
        <w:rPr>
          <w:b/>
          <w:bCs/>
        </w:rPr>
        <w:t>nion européenne</w:t>
      </w:r>
      <w:r w:rsidR="00E1131A">
        <w:rPr>
          <w:b/>
          <w:bCs/>
        </w:rPr>
        <w:t xml:space="preserve"> et ses o</w:t>
      </w:r>
      <w:r w:rsidRPr="00C923C4">
        <w:rPr>
          <w:b/>
          <w:bCs/>
        </w:rPr>
        <w:t>utre-mer</w:t>
      </w:r>
      <w:r w:rsidR="00E1131A">
        <w:rPr>
          <w:b/>
          <w:bCs/>
        </w:rPr>
        <w:t xml:space="preserve"> intégrés</w:t>
      </w:r>
      <w:r w:rsidRPr="00C923C4">
        <w:rPr>
          <w:b/>
          <w:bCs/>
        </w:rPr>
        <w:t xml:space="preserve"> : qua</w:t>
      </w:r>
      <w:r w:rsidR="008F4A65">
        <w:rPr>
          <w:b/>
          <w:bCs/>
        </w:rPr>
        <w:t>nd l</w:t>
      </w:r>
      <w:r w:rsidR="00C46822">
        <w:rPr>
          <w:b/>
          <w:bCs/>
        </w:rPr>
        <w:t>’</w:t>
      </w:r>
      <w:r w:rsidR="008F4A65">
        <w:rPr>
          <w:b/>
          <w:bCs/>
        </w:rPr>
        <w:t>exception devient commune</w:t>
      </w:r>
    </w:p>
    <w:p w14:paraId="309F4F8D" w14:textId="3FE30A60" w:rsidR="006555AD" w:rsidRPr="006555AD" w:rsidRDefault="006555AD" w:rsidP="006555AD">
      <w:pPr>
        <w:pStyle w:val="Texte"/>
        <w:ind w:firstLine="0"/>
      </w:pPr>
    </w:p>
    <w:p w14:paraId="5C1D2837" w14:textId="74499640" w:rsidR="00ED7173" w:rsidRPr="00ED7173" w:rsidRDefault="00B241E1" w:rsidP="00B964CE">
      <w:pPr>
        <w:pStyle w:val="NBP"/>
        <w:ind w:left="4956" w:firstLine="708"/>
      </w:pPr>
      <w:r w:rsidRPr="00B241E1">
        <w:rPr>
          <w:i/>
        </w:rPr>
        <w:t>« Il n</w:t>
      </w:r>
      <w:r w:rsidR="00C46822">
        <w:rPr>
          <w:i/>
        </w:rPr>
        <w:t>’</w:t>
      </w:r>
      <w:r w:rsidRPr="00B241E1">
        <w:rPr>
          <w:i/>
        </w:rPr>
        <w:t>y a pas de prescription en histoire </w:t>
      </w:r>
      <w:r w:rsidRPr="00B241E1">
        <w:t>»</w:t>
      </w:r>
      <w:r>
        <w:rPr>
          <w:rStyle w:val="Marquenotebasdepage"/>
        </w:rPr>
        <w:footnoteReference w:id="1"/>
      </w:r>
      <w:r w:rsidRPr="00B241E1">
        <w:t xml:space="preserve"> </w:t>
      </w:r>
    </w:p>
    <w:p w14:paraId="0411CCCF" w14:textId="77777777" w:rsidR="006555AD" w:rsidRDefault="006555AD" w:rsidP="00ED7173">
      <w:pPr>
        <w:spacing w:line="276" w:lineRule="auto"/>
        <w:jc w:val="both"/>
        <w:rPr>
          <w:bCs/>
        </w:rPr>
      </w:pPr>
    </w:p>
    <w:p w14:paraId="39EAE310" w14:textId="77777777" w:rsidR="006555AD" w:rsidRPr="00ED7173" w:rsidRDefault="006555AD" w:rsidP="00ED7173">
      <w:pPr>
        <w:spacing w:line="276" w:lineRule="auto"/>
        <w:jc w:val="both"/>
        <w:rPr>
          <w:bCs/>
        </w:rPr>
      </w:pPr>
    </w:p>
    <w:p w14:paraId="44054776" w14:textId="77777777" w:rsidR="00ED7173" w:rsidRPr="00ED7173" w:rsidRDefault="00ED7173" w:rsidP="002E2B0D">
      <w:pPr>
        <w:spacing w:line="276" w:lineRule="auto"/>
        <w:jc w:val="center"/>
        <w:outlineLvl w:val="0"/>
      </w:pPr>
      <w:r w:rsidRPr="00ED7173">
        <w:t>Didier BLANC</w:t>
      </w:r>
    </w:p>
    <w:p w14:paraId="19934DCA" w14:textId="77777777" w:rsidR="00ED7173" w:rsidRPr="00ED7173" w:rsidRDefault="00ED7173" w:rsidP="00ED7173">
      <w:pPr>
        <w:spacing w:line="276" w:lineRule="auto"/>
        <w:jc w:val="center"/>
      </w:pPr>
      <w:r w:rsidRPr="00ED7173">
        <w:t>Professeur de droit public</w:t>
      </w:r>
    </w:p>
    <w:p w14:paraId="431C02A5" w14:textId="77777777" w:rsidR="00ED7173" w:rsidRPr="00ED7173" w:rsidRDefault="00ED7173" w:rsidP="00ED7173">
      <w:pPr>
        <w:spacing w:line="276" w:lineRule="auto"/>
        <w:jc w:val="center"/>
      </w:pPr>
      <w:r w:rsidRPr="00ED7173">
        <w:t>Université de La Réunion – CRJ EA 14</w:t>
      </w:r>
    </w:p>
    <w:p w14:paraId="0315A9B1" w14:textId="77777777" w:rsidR="006555AD" w:rsidRDefault="006555AD" w:rsidP="006F4105">
      <w:pPr>
        <w:spacing w:line="276" w:lineRule="auto"/>
        <w:jc w:val="both"/>
      </w:pPr>
    </w:p>
    <w:p w14:paraId="3394DE28" w14:textId="77777777" w:rsidR="004E1318" w:rsidRPr="00C923C4" w:rsidRDefault="004E1318" w:rsidP="006F4105">
      <w:pPr>
        <w:spacing w:line="276" w:lineRule="auto"/>
        <w:jc w:val="both"/>
      </w:pPr>
    </w:p>
    <w:p w14:paraId="67907827" w14:textId="22B2FD5A" w:rsidR="0086723A" w:rsidRDefault="00C923C4" w:rsidP="006F4105">
      <w:pPr>
        <w:spacing w:line="276" w:lineRule="auto"/>
        <w:jc w:val="both"/>
      </w:pPr>
      <w:r w:rsidRPr="00C923C4">
        <w:tab/>
        <w:t xml:space="preserve">Les rapports entre la </w:t>
      </w:r>
      <w:r>
        <w:t>règle et son exception</w:t>
      </w:r>
      <w:r w:rsidR="00D375FE">
        <w:t xml:space="preserve"> </w:t>
      </w:r>
      <w:r w:rsidR="006555AD">
        <w:t>ont de tout</w:t>
      </w:r>
      <w:r w:rsidR="0058335E">
        <w:t xml:space="preserve"> temps nourri la réflexion juridique</w:t>
      </w:r>
      <w:r w:rsidR="006555AD">
        <w:t xml:space="preserve"> </w:t>
      </w:r>
      <w:r w:rsidR="004E2F21">
        <w:t>dans la mesure où cette dernière</w:t>
      </w:r>
      <w:r w:rsidR="00A65271">
        <w:t xml:space="preserve"> « ne doit son existence qu</w:t>
      </w:r>
      <w:r w:rsidR="00C46822">
        <w:t>’</w:t>
      </w:r>
      <w:r w:rsidR="00A65271">
        <w:t>à la règle de droit »</w:t>
      </w:r>
      <w:r w:rsidR="00D375FE">
        <w:rPr>
          <w:rStyle w:val="Marquenotebasdepage"/>
        </w:rPr>
        <w:footnoteReference w:id="2"/>
      </w:r>
      <w:r w:rsidR="0058335E">
        <w:t>. La règle</w:t>
      </w:r>
      <w:r w:rsidR="006555AD">
        <w:t xml:space="preserve"> a pour caractère d</w:t>
      </w:r>
      <w:r w:rsidR="00C46822">
        <w:t>’</w:t>
      </w:r>
      <w:r w:rsidR="006555AD">
        <w:t>être</w:t>
      </w:r>
      <w:r w:rsidR="0058335E">
        <w:t xml:space="preserve"> générale et impersonnelle, </w:t>
      </w:r>
      <w:r w:rsidR="006555AD">
        <w:t>valant pout tou</w:t>
      </w:r>
      <w:r w:rsidR="00D375FE">
        <w:t>s, elle tire sa force de l</w:t>
      </w:r>
      <w:r w:rsidR="00C46822">
        <w:t>’</w:t>
      </w:r>
      <w:r w:rsidR="00D375FE">
        <w:t>indistinction de son application, l</w:t>
      </w:r>
      <w:r w:rsidR="00C46822">
        <w:t>’</w:t>
      </w:r>
      <w:r w:rsidR="00D375FE">
        <w:t>égalité devant la règle</w:t>
      </w:r>
      <w:r w:rsidR="00F53934">
        <w:t>, quel</w:t>
      </w:r>
      <w:r w:rsidR="008073D8">
        <w:t xml:space="preserve"> que soit</w:t>
      </w:r>
      <w:r w:rsidR="006555AD">
        <w:t xml:space="preserve"> son contenu</w:t>
      </w:r>
      <w:r w:rsidR="008073D8">
        <w:t xml:space="preserve">, y est consubstantielle. Pour </w:t>
      </w:r>
      <w:r w:rsidR="00A53F3E">
        <w:t xml:space="preserve">ces mêmes raisons mais reposant sur des motifs symétriquement </w:t>
      </w:r>
      <w:r w:rsidR="00D7595E">
        <w:t>opposé</w:t>
      </w:r>
      <w:r w:rsidR="00A53F3E">
        <w:t>s : l</w:t>
      </w:r>
      <w:r w:rsidR="00C46822">
        <w:t>’</w:t>
      </w:r>
      <w:r w:rsidR="00A53F3E">
        <w:t>application indifférenciée de la règle</w:t>
      </w:r>
      <w:r w:rsidR="006555AD">
        <w:t xml:space="preserve"> peut</w:t>
      </w:r>
      <w:r w:rsidR="00A53F3E">
        <w:t xml:space="preserve"> </w:t>
      </w:r>
      <w:r w:rsidR="006A4DE5">
        <w:t>créer</w:t>
      </w:r>
      <w:r w:rsidR="00A53F3E">
        <w:t xml:space="preserve"> de l</w:t>
      </w:r>
      <w:r w:rsidR="00C46822">
        <w:t>’</w:t>
      </w:r>
      <w:r w:rsidR="00A53F3E">
        <w:t>inégalité ; des régimes</w:t>
      </w:r>
      <w:r w:rsidR="00EF5391">
        <w:t xml:space="preserve"> d</w:t>
      </w:r>
      <w:r w:rsidR="00C46822">
        <w:t>’</w:t>
      </w:r>
      <w:r w:rsidR="00EF5391">
        <w:t>exception existent au nom de la particularité des situations dans lesquelles la règle est appelée à s</w:t>
      </w:r>
      <w:r w:rsidR="00C46822">
        <w:t>’</w:t>
      </w:r>
      <w:r w:rsidR="00EF5391">
        <w:t xml:space="preserve">insérer. </w:t>
      </w:r>
      <w:r w:rsidR="00D7595E">
        <w:t>A cet égard, il</w:t>
      </w:r>
      <w:r w:rsidR="00BC5595">
        <w:t xml:space="preserve"> est possible de distinguer trois grands régimes d</w:t>
      </w:r>
      <w:r w:rsidR="00C46822">
        <w:t>’</w:t>
      </w:r>
      <w:r w:rsidR="00BC5595">
        <w:t>exception. Tout d</w:t>
      </w:r>
      <w:r w:rsidR="00C46822">
        <w:t>’</w:t>
      </w:r>
      <w:r w:rsidR="00BC5595">
        <w:t>abord, l</w:t>
      </w:r>
      <w:r w:rsidR="00C46822">
        <w:t>’</w:t>
      </w:r>
      <w:r w:rsidR="00BC5595">
        <w:t>exception est à côté de la règle, elle y est « en principe étrangère ». Ensuite</w:t>
      </w:r>
      <w:r w:rsidR="00F53934">
        <w:t>,</w:t>
      </w:r>
      <w:r w:rsidR="00BC5595">
        <w:t xml:space="preserve"> elle peut être intégrée dans la règle </w:t>
      </w:r>
      <w:r w:rsidR="00572319">
        <w:t>sous deux formes</w:t>
      </w:r>
      <w:r w:rsidR="004409A2">
        <w:t xml:space="preserve"> : </w:t>
      </w:r>
      <w:r w:rsidR="00AA10A2">
        <w:t>soit l</w:t>
      </w:r>
      <w:r w:rsidR="00C46822">
        <w:t>’</w:t>
      </w:r>
      <w:r w:rsidR="00AA10A2">
        <w:t>alternative, la norme « prévoit sa propre mise en échec », soit</w:t>
      </w:r>
      <w:r w:rsidR="00572319">
        <w:t xml:space="preserve"> la dérogation consistant en « une solution originale »</w:t>
      </w:r>
      <w:r w:rsidR="00477775">
        <w:rPr>
          <w:rStyle w:val="Marquenotebasdepage"/>
        </w:rPr>
        <w:footnoteReference w:id="3"/>
      </w:r>
      <w:r w:rsidR="00572319">
        <w:t xml:space="preserve">. </w:t>
      </w:r>
      <w:r w:rsidR="00AA10A2">
        <w:t>Enfin, l</w:t>
      </w:r>
      <w:r w:rsidR="00C46822">
        <w:t>’</w:t>
      </w:r>
      <w:r w:rsidR="00AA10A2">
        <w:t>exception procède d</w:t>
      </w:r>
      <w:r w:rsidR="00C46822">
        <w:t>’</w:t>
      </w:r>
      <w:r w:rsidR="00AA10A2">
        <w:t xml:space="preserve">une violation de la règle. </w:t>
      </w:r>
      <w:r w:rsidR="00E010CD">
        <w:t>La seconde accep</w:t>
      </w:r>
      <w:r w:rsidR="00D7595E">
        <w:t>tion sera</w:t>
      </w:r>
      <w:r w:rsidR="00C0618F">
        <w:t xml:space="preserve"> ici retenue, elle rend </w:t>
      </w:r>
      <w:r w:rsidR="00677350">
        <w:t xml:space="preserve">à la fois </w:t>
      </w:r>
      <w:r w:rsidR="00C0618F">
        <w:t>compte en droit de l</w:t>
      </w:r>
      <w:r w:rsidR="00C46822">
        <w:t>’</w:t>
      </w:r>
      <w:r w:rsidR="00C0618F">
        <w:t>Union d</w:t>
      </w:r>
      <w:r w:rsidR="00C46822">
        <w:t>’</w:t>
      </w:r>
      <w:r w:rsidR="00C0618F">
        <w:t>u</w:t>
      </w:r>
      <w:r w:rsidR="00677350">
        <w:t>ne différenciation par exclus</w:t>
      </w:r>
      <w:r w:rsidR="00C0618F">
        <w:t xml:space="preserve">ion </w:t>
      </w:r>
      <w:r w:rsidR="00D7595E">
        <w:t>réalisée par</w:t>
      </w:r>
      <w:r w:rsidR="00C0618F">
        <w:t xml:space="preserve"> la mise à l</w:t>
      </w:r>
      <w:r w:rsidR="00C46822">
        <w:t>’</w:t>
      </w:r>
      <w:r w:rsidR="00C0618F">
        <w:t xml:space="preserve">écart de la règle </w:t>
      </w:r>
      <w:r w:rsidR="00D3592B">
        <w:t xml:space="preserve">visant le </w:t>
      </w:r>
      <w:r w:rsidR="00C0618F">
        <w:t>commun</w:t>
      </w:r>
      <w:r w:rsidR="00C0618F">
        <w:rPr>
          <w:rStyle w:val="Marquenotebasdepage"/>
        </w:rPr>
        <w:footnoteReference w:id="4"/>
      </w:r>
      <w:r w:rsidR="00993D6D">
        <w:t>, caractère essentiel de ce droit</w:t>
      </w:r>
      <w:r w:rsidR="00993D6D">
        <w:rPr>
          <w:rStyle w:val="Marquenotebasdepage"/>
        </w:rPr>
        <w:footnoteReference w:id="5"/>
      </w:r>
      <w:r w:rsidR="00993D6D">
        <w:t xml:space="preserve">, </w:t>
      </w:r>
      <w:r w:rsidR="00260ABD">
        <w:t>et par dérogation</w:t>
      </w:r>
      <w:r w:rsidR="00C0618F">
        <w:t xml:space="preserve"> avec l</w:t>
      </w:r>
      <w:r w:rsidR="00C46822">
        <w:t>’</w:t>
      </w:r>
      <w:r w:rsidR="00C0618F">
        <w:t>application de mesures spécifiques</w:t>
      </w:r>
      <w:r w:rsidR="0086723A">
        <w:t>.</w:t>
      </w:r>
    </w:p>
    <w:p w14:paraId="39F36D42" w14:textId="77777777" w:rsidR="0086723A" w:rsidRDefault="0086723A" w:rsidP="006F4105">
      <w:pPr>
        <w:spacing w:line="276" w:lineRule="auto"/>
        <w:jc w:val="both"/>
      </w:pPr>
    </w:p>
    <w:p w14:paraId="6FF10826" w14:textId="30431264" w:rsidR="00E55B42" w:rsidRDefault="00C0618F" w:rsidP="0086723A">
      <w:pPr>
        <w:spacing w:line="276" w:lineRule="auto"/>
        <w:ind w:firstLine="708"/>
        <w:jc w:val="both"/>
      </w:pPr>
      <w:r>
        <w:t>Ce</w:t>
      </w:r>
      <w:r w:rsidR="0086723A">
        <w:t>s deux aspects de l</w:t>
      </w:r>
      <w:r w:rsidR="00C46822">
        <w:t>’</w:t>
      </w:r>
      <w:r w:rsidR="0086723A">
        <w:t>exception</w:t>
      </w:r>
      <w:r w:rsidR="0086723A">
        <w:rPr>
          <w:rStyle w:val="Marquenotebasdepage"/>
        </w:rPr>
        <w:footnoteReference w:id="6"/>
      </w:r>
      <w:r w:rsidR="0086723A">
        <w:t>, l</w:t>
      </w:r>
      <w:r w:rsidR="00C46822">
        <w:t>’</w:t>
      </w:r>
      <w:r w:rsidR="0086723A">
        <w:t>exception-exclusion et l</w:t>
      </w:r>
      <w:r w:rsidR="00C46822">
        <w:t>’</w:t>
      </w:r>
      <w:r w:rsidR="0086723A">
        <w:t>exception-dérogation « sont des procédés juridiques régulièrement utilisés dans le cadre de la démarche de différenciation »</w:t>
      </w:r>
      <w:r w:rsidR="0086723A">
        <w:rPr>
          <w:rStyle w:val="Marquenotebasdepage"/>
        </w:rPr>
        <w:footnoteReference w:id="7"/>
      </w:r>
      <w:r w:rsidR="0086723A">
        <w:t>.</w:t>
      </w:r>
      <w:r w:rsidR="00E16C1E">
        <w:t xml:space="preserve"> </w:t>
      </w:r>
      <w:r w:rsidR="0086723A">
        <w:t>Laquelle trouve un vaste champ en</w:t>
      </w:r>
      <w:r>
        <w:t xml:space="preserve"> </w:t>
      </w:r>
      <w:r w:rsidR="0086723A">
        <w:t>droit de l</w:t>
      </w:r>
      <w:r w:rsidR="00C46822">
        <w:t>’</w:t>
      </w:r>
      <w:r w:rsidR="0086723A">
        <w:t>Union européenne</w:t>
      </w:r>
      <w:r>
        <w:t xml:space="preserve"> pour</w:t>
      </w:r>
      <w:r w:rsidR="0086723A">
        <w:t xml:space="preserve"> s</w:t>
      </w:r>
      <w:r w:rsidR="00A27C56">
        <w:t>es</w:t>
      </w:r>
      <w:r w:rsidR="00803E68">
        <w:t xml:space="preserve"> territoires d</w:t>
      </w:r>
      <w:r w:rsidR="00C46822">
        <w:t>’</w:t>
      </w:r>
      <w:r w:rsidR="00935D50">
        <w:t>outre-mer</w:t>
      </w:r>
      <w:r w:rsidR="00E86B02">
        <w:t>, c</w:t>
      </w:r>
      <w:r w:rsidR="00C46822">
        <w:t>’</w:t>
      </w:r>
      <w:r w:rsidR="00E86B02">
        <w:t>est-à-dire situés hors de l</w:t>
      </w:r>
      <w:r w:rsidR="00C46822">
        <w:t>’</w:t>
      </w:r>
      <w:r w:rsidR="00E86B02">
        <w:t>Europe géogra</w:t>
      </w:r>
      <w:r>
        <w:t>phique</w:t>
      </w:r>
      <w:r w:rsidR="0086723A">
        <w:rPr>
          <w:rStyle w:val="Marquenotebasdepage"/>
        </w:rPr>
        <w:footnoteReference w:id="8"/>
      </w:r>
      <w:r w:rsidR="00935D50">
        <w:t xml:space="preserve">. </w:t>
      </w:r>
      <w:r w:rsidR="00E916EC">
        <w:t>Leurs relations se déploient autour de la notion d</w:t>
      </w:r>
      <w:r w:rsidR="00C46822">
        <w:t>’</w:t>
      </w:r>
      <w:r w:rsidR="00D7595E">
        <w:t>« </w:t>
      </w:r>
      <w:r w:rsidR="00E916EC">
        <w:t>intégration différenciée</w:t>
      </w:r>
      <w:r w:rsidR="00D7595E">
        <w:t> »</w:t>
      </w:r>
      <w:r w:rsidR="00E916EC">
        <w:rPr>
          <w:rStyle w:val="Marquenotebasdepage"/>
        </w:rPr>
        <w:footnoteReference w:id="9"/>
      </w:r>
      <w:r w:rsidR="009F407D">
        <w:t>, leur diversité est reconnue dans l</w:t>
      </w:r>
      <w:r w:rsidR="00C46822">
        <w:t>’</w:t>
      </w:r>
      <w:r w:rsidR="009F407D">
        <w:t>unité</w:t>
      </w:r>
      <w:r w:rsidR="003B3CF0">
        <w:rPr>
          <w:rStyle w:val="Marquenotebasdepage"/>
        </w:rPr>
        <w:footnoteReference w:id="10"/>
      </w:r>
      <w:r w:rsidR="003B3CF0">
        <w:t>.</w:t>
      </w:r>
      <w:r w:rsidR="00E916EC">
        <w:t xml:space="preserve"> </w:t>
      </w:r>
      <w:r w:rsidR="00935D50">
        <w:t xml:space="preserve">La reconnaissance </w:t>
      </w:r>
      <w:r w:rsidR="0086723A">
        <w:t xml:space="preserve">par </w:t>
      </w:r>
      <w:r w:rsidR="000D1AE0">
        <w:t>l</w:t>
      </w:r>
      <w:r w:rsidR="0086723A">
        <w:t>e</w:t>
      </w:r>
      <w:r w:rsidR="000D1AE0">
        <w:t xml:space="preserve"> </w:t>
      </w:r>
      <w:r w:rsidR="000D1AE0">
        <w:lastRenderedPageBreak/>
        <w:t xml:space="preserve">droit primaire </w:t>
      </w:r>
      <w:r w:rsidR="00935D50">
        <w:t>d</w:t>
      </w:r>
      <w:r w:rsidR="00C46822">
        <w:t>’</w:t>
      </w:r>
      <w:r w:rsidR="00935D50">
        <w:t>une différenciation au bénéfice des outre-mer européens s</w:t>
      </w:r>
      <w:r w:rsidR="00C46822">
        <w:t>’</w:t>
      </w:r>
      <w:r w:rsidR="00935D50">
        <w:t>opère avec le traité d</w:t>
      </w:r>
      <w:r w:rsidR="00C46822">
        <w:t>’</w:t>
      </w:r>
      <w:r w:rsidR="00935D50">
        <w:t>Amsterdam</w:t>
      </w:r>
      <w:r w:rsidR="00FD38BE">
        <w:rPr>
          <w:rStyle w:val="Marquenotebasdepage"/>
        </w:rPr>
        <w:footnoteReference w:id="11"/>
      </w:r>
      <w:r w:rsidR="00935D50">
        <w:t xml:space="preserve">. Traité de la différenciation dans la mesure où il introduit </w:t>
      </w:r>
      <w:r w:rsidR="001747DD">
        <w:t xml:space="preserve">également </w:t>
      </w:r>
      <w:r w:rsidR="00935D50">
        <w:t>l</w:t>
      </w:r>
      <w:r w:rsidR="00F53934">
        <w:t>e mécanisme de l</w:t>
      </w:r>
      <w:r w:rsidR="00935D50">
        <w:t>a coopération renforcée</w:t>
      </w:r>
      <w:r w:rsidR="00132502">
        <w:rPr>
          <w:rStyle w:val="Marquenotebasdepage"/>
        </w:rPr>
        <w:footnoteReference w:id="12"/>
      </w:r>
      <w:r w:rsidR="00935D50">
        <w:t>,</w:t>
      </w:r>
      <w:r w:rsidR="001747DD">
        <w:t xml:space="preserve"> </w:t>
      </w:r>
      <w:r w:rsidR="00935D50">
        <w:t>il accorde à certains territoires de son outre-mer le statut de régio</w:t>
      </w:r>
      <w:r w:rsidR="001747DD">
        <w:t>ns ultra</w:t>
      </w:r>
      <w:r w:rsidR="00935D50">
        <w:t>périphériques (ci-aprè</w:t>
      </w:r>
      <w:r w:rsidR="00E55B42">
        <w:t>s RUP)</w:t>
      </w:r>
      <w:r w:rsidR="00B6099B">
        <w:t xml:space="preserve"> en insérant dans l</w:t>
      </w:r>
      <w:r w:rsidR="00C46822">
        <w:t>’</w:t>
      </w:r>
      <w:r w:rsidR="00B6099B">
        <w:t xml:space="preserve">article 299 CE </w:t>
      </w:r>
      <w:r w:rsidR="00206864">
        <w:t xml:space="preserve">(art. 349 TFUE) </w:t>
      </w:r>
      <w:r w:rsidR="00B6099B">
        <w:t>relatif au champ territorial du traité un paragraphe qui leur est consacré</w:t>
      </w:r>
      <w:r w:rsidR="00F45DC7">
        <w:t>es</w:t>
      </w:r>
      <w:r w:rsidR="00B6099B">
        <w:rPr>
          <w:rStyle w:val="Marquenotebasdepage"/>
        </w:rPr>
        <w:footnoteReference w:id="13"/>
      </w:r>
      <w:r w:rsidR="00E55B42">
        <w:t xml:space="preserve">. </w:t>
      </w:r>
      <w:r w:rsidR="00B87618">
        <w:t>Outre leur éloignement, presque toujours teinté d</w:t>
      </w:r>
      <w:r w:rsidR="00C46822">
        <w:t>’</w:t>
      </w:r>
      <w:r w:rsidR="00B87618">
        <w:t xml:space="preserve">insularité, ces régions abritant une population avoisinant </w:t>
      </w:r>
      <w:r w:rsidR="001747DD">
        <w:t xml:space="preserve">de nos jours </w:t>
      </w:r>
      <w:r w:rsidR="00B87618">
        <w:t>les</w:t>
      </w:r>
      <w:r w:rsidR="00B87618" w:rsidRPr="00B87618">
        <w:t xml:space="preserve"> 5 millions d</w:t>
      </w:r>
      <w:r w:rsidR="00C46822">
        <w:t>’</w:t>
      </w:r>
      <w:r w:rsidR="00B87618" w:rsidRPr="00B87618">
        <w:t>habitants</w:t>
      </w:r>
      <w:r w:rsidR="00B87618">
        <w:rPr>
          <w:rStyle w:val="Marquenotebasdepage"/>
        </w:rPr>
        <w:footnoteReference w:id="14"/>
      </w:r>
      <w:r w:rsidR="00B87618">
        <w:t xml:space="preserve">, </w:t>
      </w:r>
      <w:r w:rsidR="00F225C4">
        <w:t xml:space="preserve">ont un PIB par habitant </w:t>
      </w:r>
      <w:r w:rsidR="002317C0">
        <w:t>qui représente pour les territ</w:t>
      </w:r>
      <w:r w:rsidR="00A15E1F">
        <w:t>oires français 60</w:t>
      </w:r>
      <w:r w:rsidR="002317C0">
        <w:t>% de la moyenne du niveau métropolitain</w:t>
      </w:r>
      <w:r w:rsidR="000C6E5B">
        <w:t xml:space="preserve"> tandis que le taux de chômage, particulièrement élevé chez les jeunes, est </w:t>
      </w:r>
      <w:r w:rsidR="00634179">
        <w:t>proche de 25% avec une pointe à 27</w:t>
      </w:r>
      <w:r w:rsidR="000C6E5B">
        <w:t>% pour La Réunion</w:t>
      </w:r>
      <w:r w:rsidR="00892DC3">
        <w:rPr>
          <w:rStyle w:val="Marquenotebasdepage"/>
        </w:rPr>
        <w:footnoteReference w:id="15"/>
      </w:r>
      <w:r w:rsidR="000C6E5B">
        <w:t xml:space="preserve">. Dans ces conditions sans déchirer la carte postale </w:t>
      </w:r>
      <w:r w:rsidR="003C43BE">
        <w:t xml:space="preserve">ensoleillée et azurée </w:t>
      </w:r>
      <w:r w:rsidR="000C6E5B">
        <w:t>de la vie ultramarine, du moins doit-elle être singulièrement écornée.</w:t>
      </w:r>
    </w:p>
    <w:p w14:paraId="04546888" w14:textId="77777777" w:rsidR="00E55B42" w:rsidRDefault="00E55B42" w:rsidP="001747DD">
      <w:pPr>
        <w:spacing w:line="276" w:lineRule="auto"/>
        <w:jc w:val="both"/>
      </w:pPr>
    </w:p>
    <w:p w14:paraId="45DBDD6A" w14:textId="722D2033" w:rsidR="00764B26" w:rsidRDefault="003C43BE" w:rsidP="00EC4982">
      <w:pPr>
        <w:spacing w:line="276" w:lineRule="auto"/>
        <w:ind w:firstLine="708"/>
        <w:jc w:val="both"/>
      </w:pPr>
      <w:r>
        <w:t>Les RUP ne constitu</w:t>
      </w:r>
      <w:r w:rsidR="00E86B02">
        <w:t>ent pas à elles seules l</w:t>
      </w:r>
      <w:r w:rsidR="00C46822">
        <w:t>’</w:t>
      </w:r>
      <w:r w:rsidR="00E86B02">
        <w:t xml:space="preserve">outre-mer européen, une seconde catégorie au régime disparate </w:t>
      </w:r>
      <w:r w:rsidR="00072A90">
        <w:t>existe : les Pays et territoires d</w:t>
      </w:r>
      <w:r w:rsidR="00C46822">
        <w:t>’</w:t>
      </w:r>
      <w:r w:rsidR="00072A90">
        <w:t xml:space="preserve">Outre-mer (PTOM). Leur statut </w:t>
      </w:r>
      <w:r w:rsidR="001747DD">
        <w:t>renvoie à la première acception de l</w:t>
      </w:r>
      <w:r w:rsidR="00C46822">
        <w:t>’</w:t>
      </w:r>
      <w:r w:rsidR="00072A90">
        <w:t xml:space="preserve">exception en vertu duquel </w:t>
      </w:r>
      <w:r w:rsidR="003179B7">
        <w:t xml:space="preserve">« elle tient une place à côté de </w:t>
      </w:r>
      <w:r w:rsidR="009E4BF4">
        <w:t>l</w:t>
      </w:r>
      <w:r w:rsidR="003179B7">
        <w:t>a règle »</w:t>
      </w:r>
      <w:r w:rsidR="003179B7">
        <w:rPr>
          <w:rStyle w:val="Marquenotebasdepage"/>
        </w:rPr>
        <w:footnoteReference w:id="16"/>
      </w:r>
      <w:r w:rsidR="009E4BF4">
        <w:t xml:space="preserve">. </w:t>
      </w:r>
      <w:r w:rsidR="000877F0">
        <w:t>Les liens entre l</w:t>
      </w:r>
      <w:r w:rsidR="00C46822">
        <w:t>’</w:t>
      </w:r>
      <w:r w:rsidR="003428DA">
        <w:t xml:space="preserve">Union et les PTOM sont tissés </w:t>
      </w:r>
      <w:r w:rsidR="003179B7">
        <w:t>au titre</w:t>
      </w:r>
      <w:r w:rsidR="003428DA">
        <w:t xml:space="preserve"> de l</w:t>
      </w:r>
      <w:r w:rsidR="00C46822">
        <w:t>’</w:t>
      </w:r>
      <w:r w:rsidR="003428DA">
        <w:t>association suivant l</w:t>
      </w:r>
      <w:r w:rsidR="00C46822">
        <w:t>’</w:t>
      </w:r>
      <w:r w:rsidR="003428DA">
        <w:t>article 198 TFUE</w:t>
      </w:r>
      <w:r w:rsidR="004F0EA0">
        <w:rPr>
          <w:rStyle w:val="Marquenotebasdepage"/>
        </w:rPr>
        <w:footnoteReference w:id="17"/>
      </w:r>
      <w:r w:rsidR="00012DDC">
        <w:t>. Bien qu</w:t>
      </w:r>
      <w:r w:rsidR="00C46822">
        <w:t>’</w:t>
      </w:r>
      <w:r w:rsidR="00012DDC">
        <w:t>il s</w:t>
      </w:r>
      <w:r w:rsidR="00C46822">
        <w:t>’</w:t>
      </w:r>
      <w:r w:rsidR="00012DDC">
        <w:t>agisse d</w:t>
      </w:r>
      <w:r w:rsidR="00C46822">
        <w:t>’</w:t>
      </w:r>
      <w:r w:rsidR="00012DDC">
        <w:t>une « association octroyée »</w:t>
      </w:r>
      <w:r w:rsidR="00012DDC">
        <w:rPr>
          <w:rStyle w:val="Marquenotebasdepage"/>
        </w:rPr>
        <w:footnoteReference w:id="18"/>
      </w:r>
      <w:r w:rsidR="003179B7">
        <w:t xml:space="preserve">, </w:t>
      </w:r>
      <w:r w:rsidR="00012DDC">
        <w:t>les PTOM</w:t>
      </w:r>
      <w:r w:rsidR="00D172CE">
        <w:t xml:space="preserve"> sont dans une situation d</w:t>
      </w:r>
      <w:r w:rsidR="00C46822">
        <w:t>’</w:t>
      </w:r>
      <w:r w:rsidR="00D172CE">
        <w:t>extériorité à l</w:t>
      </w:r>
      <w:r w:rsidR="00C46822">
        <w:t>’</w:t>
      </w:r>
      <w:r w:rsidR="00D172CE">
        <w:t>égard du droit de l</w:t>
      </w:r>
      <w:r w:rsidR="00C46822">
        <w:t>’</w:t>
      </w:r>
      <w:r w:rsidR="00D172CE">
        <w:t>Union ; l</w:t>
      </w:r>
      <w:r w:rsidR="00C46822">
        <w:t>’</w:t>
      </w:r>
      <w:r w:rsidR="00D172CE">
        <w:t>association exclut par principe l</w:t>
      </w:r>
      <w:r w:rsidR="00C46822">
        <w:t>’</w:t>
      </w:r>
      <w:r w:rsidR="00D172CE">
        <w:t>intég</w:t>
      </w:r>
      <w:r w:rsidR="003179B7">
        <w:t>ration</w:t>
      </w:r>
      <w:r w:rsidR="00D7595E">
        <w:t>, bien qu</w:t>
      </w:r>
      <w:r w:rsidR="00C46822">
        <w:t>’</w:t>
      </w:r>
      <w:r w:rsidR="00D7595E">
        <w:t>elle puisse la préparer</w:t>
      </w:r>
      <w:r w:rsidR="00480F17">
        <w:t xml:space="preserve">. </w:t>
      </w:r>
      <w:r w:rsidR="00D172CE">
        <w:t>En dépit de l</w:t>
      </w:r>
      <w:r w:rsidR="00C46822">
        <w:t>’</w:t>
      </w:r>
      <w:r w:rsidR="00D172CE">
        <w:t>atténuation au fil du temps</w:t>
      </w:r>
      <w:r w:rsidR="00317F54">
        <w:t xml:space="preserve"> de cette extériorité</w:t>
      </w:r>
      <w:r w:rsidR="009168FC">
        <w:rPr>
          <w:rStyle w:val="Marquenotebasdepage"/>
        </w:rPr>
        <w:footnoteReference w:id="19"/>
      </w:r>
      <w:r w:rsidR="00317F54">
        <w:t xml:space="preserve"> </w:t>
      </w:r>
      <w:r w:rsidR="004111C5">
        <w:t>et des incertitudes nées du flou jurisprudentiel</w:t>
      </w:r>
      <w:r w:rsidR="004111C5">
        <w:rPr>
          <w:rStyle w:val="Marquenotebasdepage"/>
        </w:rPr>
        <w:footnoteReference w:id="20"/>
      </w:r>
      <w:r w:rsidR="004111C5">
        <w:t xml:space="preserve">, </w:t>
      </w:r>
      <w:r w:rsidR="00317F54">
        <w:t>il n</w:t>
      </w:r>
      <w:r w:rsidR="00C46822">
        <w:t>’</w:t>
      </w:r>
      <w:r w:rsidR="00317F54">
        <w:t xml:space="preserve">en demeure pas moins </w:t>
      </w:r>
      <w:r w:rsidR="009168FC">
        <w:t>que l</w:t>
      </w:r>
      <w:r w:rsidR="00C46822">
        <w:t>’</w:t>
      </w:r>
      <w:r w:rsidR="009168FC">
        <w:t xml:space="preserve">opposition </w:t>
      </w:r>
      <w:r w:rsidR="00A346A6">
        <w:t>est franche entre non-application de principe du droit de l</w:t>
      </w:r>
      <w:r w:rsidR="00C46822">
        <w:t>’</w:t>
      </w:r>
      <w:r w:rsidR="00A346A6">
        <w:t>Union aux PTOM en vertu de l</w:t>
      </w:r>
      <w:r w:rsidR="00C46822">
        <w:t>’</w:t>
      </w:r>
      <w:r w:rsidR="00A346A6">
        <w:t>association</w:t>
      </w:r>
      <w:r w:rsidR="00456B47">
        <w:rPr>
          <w:rStyle w:val="Marquenotebasdepage"/>
        </w:rPr>
        <w:footnoteReference w:id="21"/>
      </w:r>
      <w:r w:rsidR="00A346A6">
        <w:t xml:space="preserve"> et </w:t>
      </w:r>
      <w:r>
        <w:t>intégration, même différenciée,</w:t>
      </w:r>
      <w:r w:rsidR="00A346A6">
        <w:t xml:space="preserve"> a</w:t>
      </w:r>
      <w:r w:rsidR="00EC4982">
        <w:t>u bénéfice des RUP</w:t>
      </w:r>
      <w:r w:rsidR="00A346A6">
        <w:t>. Il s</w:t>
      </w:r>
      <w:r w:rsidR="00C46822">
        <w:t>’</w:t>
      </w:r>
      <w:r w:rsidR="00A346A6">
        <w:t>agit d</w:t>
      </w:r>
      <w:r w:rsidR="00C46822">
        <w:t>’</w:t>
      </w:r>
      <w:r w:rsidR="00A346A6">
        <w:t>une différenc</w:t>
      </w:r>
      <w:r w:rsidR="00EC4982">
        <w:t>e de nature plus que de degré</w:t>
      </w:r>
      <w:r w:rsidR="003179B7">
        <w:t>.</w:t>
      </w:r>
      <w:r w:rsidR="00EC4982">
        <w:t xml:space="preserve"> </w:t>
      </w:r>
      <w:r w:rsidR="008F4A65">
        <w:t xml:space="preserve">Le traité par </w:t>
      </w:r>
      <w:r w:rsidR="003179B7">
        <w:t xml:space="preserve">la </w:t>
      </w:r>
      <w:r w:rsidR="008F4A65">
        <w:t>liaison qu</w:t>
      </w:r>
      <w:r w:rsidR="00C46822">
        <w:t>’</w:t>
      </w:r>
      <w:r w:rsidR="008F4A65">
        <w:t>il réalise entre l</w:t>
      </w:r>
      <w:r w:rsidR="00C46822">
        <w:t>’</w:t>
      </w:r>
      <w:r w:rsidR="008F4A65">
        <w:t xml:space="preserve">identification des RUP et leur régime juridique soutient cette </w:t>
      </w:r>
      <w:r w:rsidR="00354E49">
        <w:t>analyse</w:t>
      </w:r>
      <w:r w:rsidR="008F4A65" w:rsidRPr="008F4A65">
        <w:t xml:space="preserve">. Les </w:t>
      </w:r>
      <w:r w:rsidR="00354E49">
        <w:t xml:space="preserve">territoires concernés </w:t>
      </w:r>
      <w:r w:rsidR="008B4B22">
        <w:t>initialement par</w:t>
      </w:r>
      <w:r w:rsidR="00354E49">
        <w:t xml:space="preserve"> l</w:t>
      </w:r>
      <w:r w:rsidR="00C46822">
        <w:t>’</w:t>
      </w:r>
      <w:r w:rsidR="008B4B22">
        <w:t>ex-article 299 CE</w:t>
      </w:r>
      <w:r w:rsidR="00F9668F">
        <w:t xml:space="preserve"> (article </w:t>
      </w:r>
      <w:r w:rsidR="00EC4982">
        <w:t>355 § 1</w:t>
      </w:r>
      <w:r w:rsidR="0027245C">
        <w:t xml:space="preserve"> TFUE</w:t>
      </w:r>
      <w:r w:rsidR="008B4B22">
        <w:t>)</w:t>
      </w:r>
      <w:r w:rsidR="00504FC0">
        <w:t> </w:t>
      </w:r>
      <w:r w:rsidR="0027245C">
        <w:t>sont</w:t>
      </w:r>
      <w:r w:rsidR="00504FC0">
        <w:t xml:space="preserve"> </w:t>
      </w:r>
      <w:r w:rsidR="0027245C">
        <w:t>les départements français d</w:t>
      </w:r>
      <w:r w:rsidR="00C46822">
        <w:t>’</w:t>
      </w:r>
      <w:r w:rsidR="0027245C">
        <w:t>outre-mer (</w:t>
      </w:r>
      <w:r w:rsidR="00504FC0">
        <w:t xml:space="preserve">la Guadeloupe, la Guyane, </w:t>
      </w:r>
      <w:r w:rsidR="00EC4982">
        <w:t xml:space="preserve">la Martinique et </w:t>
      </w:r>
      <w:r w:rsidR="00504FC0">
        <w:t>la Réuni</w:t>
      </w:r>
      <w:r w:rsidR="0027245C">
        <w:t>on)</w:t>
      </w:r>
      <w:r w:rsidR="00504FC0">
        <w:t xml:space="preserve">, les </w:t>
      </w:r>
      <w:r w:rsidR="00504FC0">
        <w:lastRenderedPageBreak/>
        <w:t xml:space="preserve">Açores, </w:t>
      </w:r>
      <w:r w:rsidR="008F4A65" w:rsidRPr="008F4A65">
        <w:t xml:space="preserve">Madère </w:t>
      </w:r>
      <w:r w:rsidR="0027245C">
        <w:t xml:space="preserve">(Portugal) </w:t>
      </w:r>
      <w:r w:rsidR="008F4A65" w:rsidRPr="008F4A65">
        <w:t xml:space="preserve">et </w:t>
      </w:r>
      <w:r w:rsidR="00504FC0">
        <w:t>les</w:t>
      </w:r>
      <w:r w:rsidR="008213D7">
        <w:t xml:space="preserve"> Canaries </w:t>
      </w:r>
      <w:r w:rsidR="0027245C">
        <w:t xml:space="preserve">(Espagne) </w:t>
      </w:r>
      <w:r w:rsidR="008213D7">
        <w:t>tandis que l</w:t>
      </w:r>
      <w:r w:rsidR="00C46822">
        <w:t>’</w:t>
      </w:r>
      <w:r w:rsidR="007879D5">
        <w:t>article 355 § 2</w:t>
      </w:r>
      <w:r w:rsidR="00132502">
        <w:t xml:space="preserve"> TFUE retient que l</w:t>
      </w:r>
      <w:r w:rsidR="00132502" w:rsidRPr="00132502">
        <w:t xml:space="preserve">es dispositions des traités </w:t>
      </w:r>
      <w:r w:rsidR="00132502">
        <w:t xml:space="preserve">leur </w:t>
      </w:r>
      <w:r w:rsidR="003702E8">
        <w:t>sont applicables</w:t>
      </w:r>
      <w:r w:rsidR="00764B26">
        <w:t>.</w:t>
      </w:r>
    </w:p>
    <w:p w14:paraId="463944A5" w14:textId="77777777" w:rsidR="00764B26" w:rsidRDefault="00764B26" w:rsidP="00764B26">
      <w:pPr>
        <w:spacing w:line="276" w:lineRule="auto"/>
        <w:jc w:val="both"/>
      </w:pPr>
    </w:p>
    <w:p w14:paraId="61B7D0A3" w14:textId="6FE21F1A" w:rsidR="00F76180" w:rsidRDefault="0027245C" w:rsidP="00A72CED">
      <w:pPr>
        <w:spacing w:line="276" w:lineRule="auto"/>
        <w:ind w:firstLine="708"/>
        <w:jc w:val="both"/>
      </w:pPr>
      <w:r>
        <w:t xml:space="preserve">A </w:t>
      </w:r>
      <w:r w:rsidR="005F45F8">
        <w:t>la faveur du traité de Lisbonne deux changements sont opérés</w:t>
      </w:r>
      <w:r w:rsidR="00B6099B">
        <w:t xml:space="preserve"> </w:t>
      </w:r>
      <w:r w:rsidR="007879D5">
        <w:t xml:space="preserve">en la matière </w:t>
      </w:r>
      <w:r w:rsidR="005F45F8">
        <w:t>: d</w:t>
      </w:r>
      <w:r w:rsidR="00C46822">
        <w:t>’</w:t>
      </w:r>
      <w:r w:rsidR="005F45F8">
        <w:t>une part, le choix d</w:t>
      </w:r>
      <w:r w:rsidR="00C46822">
        <w:t>’</w:t>
      </w:r>
      <w:r w:rsidR="005F45F8">
        <w:t xml:space="preserve">une liste </w:t>
      </w:r>
      <w:r w:rsidR="003702E8">
        <w:t xml:space="preserve">énumérative </w:t>
      </w:r>
      <w:r w:rsidR="005F45F8">
        <w:t>est fait en lieu et place d</w:t>
      </w:r>
      <w:r w:rsidR="00C46822">
        <w:t>’</w:t>
      </w:r>
      <w:r w:rsidR="005F45F8">
        <w:t>un renvoi à des catégories forgées par le droit interne</w:t>
      </w:r>
      <w:r w:rsidR="00591F03">
        <w:rPr>
          <w:rStyle w:val="Marquenotebasdepage"/>
        </w:rPr>
        <w:footnoteReference w:id="22"/>
      </w:r>
      <w:r w:rsidR="00D7595E">
        <w:t>, confirmant en cela si besoin était l</w:t>
      </w:r>
      <w:r w:rsidR="00C46822">
        <w:t>’</w:t>
      </w:r>
      <w:r w:rsidR="00D7595E">
        <w:t xml:space="preserve">indépendance </w:t>
      </w:r>
      <w:r w:rsidR="00C631C0">
        <w:t>entre statut constitution</w:t>
      </w:r>
      <w:r w:rsidR="00835DD6">
        <w:t>nel</w:t>
      </w:r>
      <w:r w:rsidR="00C631C0">
        <w:t xml:space="preserve"> et européen</w:t>
      </w:r>
      <w:r w:rsidR="00C631C0">
        <w:rPr>
          <w:rStyle w:val="Marquenotebasdepage"/>
        </w:rPr>
        <w:footnoteReference w:id="23"/>
      </w:r>
      <w:r w:rsidR="00C631C0">
        <w:t>,</w:t>
      </w:r>
      <w:r w:rsidR="005F45F8">
        <w:t xml:space="preserve"> </w:t>
      </w:r>
      <w:r w:rsidR="003702E8">
        <w:t xml:space="preserve">et </w:t>
      </w:r>
      <w:r w:rsidR="005F45F8">
        <w:t>d</w:t>
      </w:r>
      <w:r w:rsidR="00C46822">
        <w:t>’</w:t>
      </w:r>
      <w:r w:rsidR="005F45F8">
        <w:t>autre part, cette énumération</w:t>
      </w:r>
      <w:r w:rsidR="003702E8">
        <w:t xml:space="preserve"> exhaustive n</w:t>
      </w:r>
      <w:r w:rsidR="00C46822">
        <w:t>’</w:t>
      </w:r>
      <w:r w:rsidR="003702E8">
        <w:t xml:space="preserve">est pas enclose </w:t>
      </w:r>
      <w:r w:rsidR="005F45F8">
        <w:t>suivant les termes de l</w:t>
      </w:r>
      <w:r w:rsidR="00C46822">
        <w:t>’</w:t>
      </w:r>
      <w:r w:rsidR="005F45F8">
        <w:t>article 355</w:t>
      </w:r>
      <w:r w:rsidR="003702E8">
        <w:t xml:space="preserve"> § 6</w:t>
      </w:r>
      <w:r w:rsidR="007879D5">
        <w:t xml:space="preserve"> </w:t>
      </w:r>
      <w:r w:rsidR="005F45F8">
        <w:t>TFUE</w:t>
      </w:r>
      <w:r w:rsidR="00D7595E">
        <w:t>. Ce dernier</w:t>
      </w:r>
      <w:r w:rsidR="003702E8">
        <w:t xml:space="preserve"> </w:t>
      </w:r>
      <w:r w:rsidR="005F45F8">
        <w:t>prévoit</w:t>
      </w:r>
      <w:r w:rsidR="003702E8">
        <w:t xml:space="preserve"> </w:t>
      </w:r>
      <w:r w:rsidR="00764B26">
        <w:t>que le « </w:t>
      </w:r>
      <w:r w:rsidR="00764B26" w:rsidRPr="00764B26">
        <w:t>Conseil européen, sur initiative de l</w:t>
      </w:r>
      <w:r w:rsidR="00C46822">
        <w:t>’</w:t>
      </w:r>
      <w:r w:rsidR="00764B26" w:rsidRPr="00764B26">
        <w:t>État membre concerné, peut adopter une décision modifiant</w:t>
      </w:r>
      <w:r w:rsidR="00764B26">
        <w:t xml:space="preserve"> </w:t>
      </w:r>
      <w:r w:rsidR="00764B26" w:rsidRPr="00764B26">
        <w:t>le statut à l</w:t>
      </w:r>
      <w:r w:rsidR="00C46822">
        <w:t>’</w:t>
      </w:r>
      <w:r w:rsidR="00764B26" w:rsidRPr="00764B26">
        <w:t>égard de l</w:t>
      </w:r>
      <w:r w:rsidR="00C46822">
        <w:t>’</w:t>
      </w:r>
      <w:r w:rsidR="00764B26" w:rsidRPr="00764B26">
        <w:t>Union d</w:t>
      </w:r>
      <w:r w:rsidR="00C46822">
        <w:t>’</w:t>
      </w:r>
      <w:r w:rsidR="00764B26" w:rsidRPr="00764B26">
        <w:t xml:space="preserve">un pays ou territoire danois, </w:t>
      </w:r>
      <w:r w:rsidR="00764B26">
        <w:t>français ou néerlandais ». C</w:t>
      </w:r>
      <w:r w:rsidR="00C46822">
        <w:t>’</w:t>
      </w:r>
      <w:r w:rsidR="00F76180">
        <w:t>est sur l</w:t>
      </w:r>
      <w:r w:rsidR="00764B26">
        <w:t xml:space="preserve">e fondement </w:t>
      </w:r>
      <w:r w:rsidR="00F76180">
        <w:t xml:space="preserve">de cette clause passerelle </w:t>
      </w:r>
      <w:r w:rsidR="004E29A7">
        <w:t xml:space="preserve">statutaire </w:t>
      </w:r>
      <w:r w:rsidR="00F76180">
        <w:t>qu</w:t>
      </w:r>
      <w:r w:rsidR="00C46822">
        <w:t>’</w:t>
      </w:r>
      <w:r w:rsidR="00764B26">
        <w:t>à la</w:t>
      </w:r>
      <w:r w:rsidR="00764B26" w:rsidRPr="00764B26">
        <w:t xml:space="preserve"> demande de la </w:t>
      </w:r>
      <w:r w:rsidR="00764B26">
        <w:t>France,</w:t>
      </w:r>
      <w:r w:rsidR="00764B26" w:rsidRPr="00764B26">
        <w:t xml:space="preserve"> le Conseil eur</w:t>
      </w:r>
      <w:r w:rsidR="00764B26">
        <w:t>opéen a décidé à l</w:t>
      </w:r>
      <w:r w:rsidR="00C46822">
        <w:t>’</w:t>
      </w:r>
      <w:r w:rsidR="00764B26">
        <w:t>unanimité d</w:t>
      </w:r>
      <w:r w:rsidR="00C46822">
        <w:t>’</w:t>
      </w:r>
      <w:r w:rsidR="00764B26">
        <w:t xml:space="preserve">accorder </w:t>
      </w:r>
      <w:r w:rsidR="00B6099B" w:rsidRPr="00764B26">
        <w:t>à compter du 1</w:t>
      </w:r>
      <w:r w:rsidR="00B6099B" w:rsidRPr="00764B26">
        <w:rPr>
          <w:vertAlign w:val="superscript"/>
        </w:rPr>
        <w:t>er</w:t>
      </w:r>
      <w:r w:rsidR="00B6099B" w:rsidRPr="00764B26">
        <w:t xml:space="preserve"> janvier 2014</w:t>
      </w:r>
      <w:r w:rsidR="00B6099B">
        <w:t xml:space="preserve"> </w:t>
      </w:r>
      <w:r w:rsidR="00764B26">
        <w:t xml:space="preserve">à </w:t>
      </w:r>
      <w:r w:rsidR="00764B26" w:rsidRPr="00764B26">
        <w:t>Mayotte</w:t>
      </w:r>
      <w:r w:rsidR="00764B26">
        <w:t xml:space="preserve"> le statut de RUP, alors qu</w:t>
      </w:r>
      <w:r w:rsidR="00C46822">
        <w:t>’</w:t>
      </w:r>
      <w:r w:rsidR="00764B26">
        <w:t>aup</w:t>
      </w:r>
      <w:r w:rsidR="00B6099B">
        <w:t>aravant il s</w:t>
      </w:r>
      <w:r w:rsidR="00C46822">
        <w:t>’</w:t>
      </w:r>
      <w:r w:rsidR="00B6099B">
        <w:t>agissait d</w:t>
      </w:r>
      <w:r w:rsidR="00C46822">
        <w:t>’</w:t>
      </w:r>
      <w:r w:rsidR="00B6099B">
        <w:t>un PTOM</w:t>
      </w:r>
      <w:r w:rsidR="00764B26">
        <w:rPr>
          <w:rStyle w:val="Marquenotebasdepage"/>
        </w:rPr>
        <w:footnoteReference w:id="24"/>
      </w:r>
      <w:r w:rsidR="00764B26">
        <w:t>. De sorte que</w:t>
      </w:r>
      <w:r w:rsidR="00B6099B">
        <w:t>,</w:t>
      </w:r>
      <w:r w:rsidR="00764B26">
        <w:t xml:space="preserve"> si juridiquement la frontière est étanche entre chacun des statuts, un même territoire peut migrer de l</w:t>
      </w:r>
      <w:r w:rsidR="00C46822">
        <w:t>’</w:t>
      </w:r>
      <w:r w:rsidR="00764B26">
        <w:t>un vers l</w:t>
      </w:r>
      <w:r w:rsidR="00C46822">
        <w:t>’</w:t>
      </w:r>
      <w:r w:rsidR="00764B26">
        <w:t>autre. En tout état de cause la signification attachée à ce mouvement doit être lue à l</w:t>
      </w:r>
      <w:r w:rsidR="00C46822">
        <w:t>’</w:t>
      </w:r>
      <w:r w:rsidR="00764B26">
        <w:t xml:space="preserve">aune de la tension entre intégration et association </w:t>
      </w:r>
      <w:r w:rsidR="001539E4">
        <w:t>ainsi que l</w:t>
      </w:r>
      <w:r w:rsidR="00C46822">
        <w:t>’</w:t>
      </w:r>
      <w:r w:rsidR="007D593A">
        <w:t xml:space="preserve">indique la décision du </w:t>
      </w:r>
      <w:r w:rsidR="00764B26" w:rsidRPr="00764B26">
        <w:t>Conseil européen</w:t>
      </w:r>
      <w:r w:rsidR="00225E79">
        <w:t xml:space="preserve"> : </w:t>
      </w:r>
      <w:r w:rsidR="00607AE0">
        <w:t>cette</w:t>
      </w:r>
      <w:r w:rsidR="00764B26" w:rsidRPr="00764B26">
        <w:t xml:space="preserve"> « </w:t>
      </w:r>
      <w:r w:rsidR="00607AE0" w:rsidRPr="00607AE0">
        <w:t>modification du statut à l</w:t>
      </w:r>
      <w:r w:rsidR="00C46822">
        <w:t>’</w:t>
      </w:r>
      <w:r w:rsidR="00607AE0" w:rsidRPr="00607AE0">
        <w:t>égard de l</w:t>
      </w:r>
      <w:r w:rsidR="00C46822">
        <w:t>’</w:t>
      </w:r>
      <w:r w:rsidR="00607AE0" w:rsidRPr="00607AE0">
        <w:t>Union de Mayotte, qui répond à une demande démocratiquement exprimée, devrait constituer une étape cohérente avec l</w:t>
      </w:r>
      <w:r w:rsidR="00C46822">
        <w:t>’</w:t>
      </w:r>
      <w:r w:rsidR="00607AE0" w:rsidRPr="00607AE0">
        <w:t>accès de Mayotte à un statut proche d</w:t>
      </w:r>
      <w:r w:rsidR="00607AE0">
        <w:t>e celui de la métropole »</w:t>
      </w:r>
      <w:r w:rsidR="00607AE0">
        <w:rPr>
          <w:rStyle w:val="Marquenotebasdepage"/>
        </w:rPr>
        <w:footnoteReference w:id="25"/>
      </w:r>
      <w:r w:rsidR="00607AE0">
        <w:t>.</w:t>
      </w:r>
    </w:p>
    <w:p w14:paraId="22EB4D60" w14:textId="77777777" w:rsidR="00F76180" w:rsidRDefault="00F76180" w:rsidP="00F76180">
      <w:pPr>
        <w:spacing w:line="276" w:lineRule="auto"/>
        <w:jc w:val="both"/>
      </w:pPr>
    </w:p>
    <w:p w14:paraId="6275A9D8" w14:textId="33B844CC" w:rsidR="00087F27" w:rsidRDefault="00556DC5" w:rsidP="00921A63">
      <w:pPr>
        <w:spacing w:line="276" w:lineRule="auto"/>
        <w:ind w:firstLine="708"/>
        <w:jc w:val="both"/>
      </w:pPr>
      <w:r>
        <w:t>Un mouvement inverse l</w:t>
      </w:r>
      <w:r w:rsidR="00C46822">
        <w:t>’</w:t>
      </w:r>
      <w:r>
        <w:t>a précédé à la suite du détachement de la Guadeloupe de deux de ses communes, devenues collectivités d</w:t>
      </w:r>
      <w:r w:rsidR="00C46822">
        <w:t>’</w:t>
      </w:r>
      <w:r>
        <w:t>outre-mer (COM)</w:t>
      </w:r>
      <w:r w:rsidR="001C6FF3">
        <w:t xml:space="preserve"> </w:t>
      </w:r>
      <w:r>
        <w:t xml:space="preserve">: </w:t>
      </w:r>
      <w:r w:rsidRPr="00556DC5">
        <w:t>Saint-Martin et Saint-Barthélemy</w:t>
      </w:r>
      <w:r w:rsidR="001C6FF3" w:rsidRPr="00556DC5">
        <w:rPr>
          <w:vertAlign w:val="superscript"/>
        </w:rPr>
        <w:footnoteReference w:id="26"/>
      </w:r>
      <w:r w:rsidR="001C6FF3">
        <w:t> ; celle-ci décidant de rejoindre les PTOM.</w:t>
      </w:r>
      <w:r w:rsidR="00A72CED">
        <w:t xml:space="preserve"> A nouveau l</w:t>
      </w:r>
      <w:r w:rsidR="00C46822">
        <w:t>’</w:t>
      </w:r>
      <w:r w:rsidR="00A72CED">
        <w:t>intention est univoque : il s</w:t>
      </w:r>
      <w:r w:rsidR="00C46822">
        <w:t>’</w:t>
      </w:r>
      <w:r w:rsidR="00A72CED">
        <w:t>agit « d</w:t>
      </w:r>
      <w:r w:rsidR="00A72CED" w:rsidRPr="00A72CED">
        <w:t>e lui voir conférer un statut à l</w:t>
      </w:r>
      <w:r w:rsidR="00C46822">
        <w:t>’</w:t>
      </w:r>
      <w:r w:rsidR="00A72CED" w:rsidRPr="00A72CED">
        <w:t>égard de l</w:t>
      </w:r>
      <w:r w:rsidR="00C46822">
        <w:t>’</w:t>
      </w:r>
      <w:r w:rsidR="00A72CED" w:rsidRPr="00A72CED">
        <w:t>Union mieux adapté à celui dont elle dispose en droit interne, au regard notamment de son éloignement physique de la métropole, de son économie insulaire et de petite taille uniquement orientée vers le tourisme et confrontée à des difficultés concrètes d</w:t>
      </w:r>
      <w:r w:rsidR="00C46822">
        <w:t>’</w:t>
      </w:r>
      <w:r w:rsidR="00A72CED" w:rsidRPr="00A72CED">
        <w:t>approvisionnement qui rendent délicate l</w:t>
      </w:r>
      <w:r w:rsidR="00C46822">
        <w:t>’</w:t>
      </w:r>
      <w:r w:rsidR="00A72CED" w:rsidRPr="00A72CED">
        <w:t>application d</w:t>
      </w:r>
      <w:r w:rsidR="00C46822">
        <w:t>’</w:t>
      </w:r>
      <w:r w:rsidR="00A72CED" w:rsidRPr="00A72CED">
        <w:t>une partie des normes de l</w:t>
      </w:r>
      <w:r w:rsidR="00C46822">
        <w:t>’</w:t>
      </w:r>
      <w:r w:rsidR="00A72CED" w:rsidRPr="00A72CED">
        <w:t>Union</w:t>
      </w:r>
      <w:r w:rsidR="00A72CED">
        <w:t> »</w:t>
      </w:r>
      <w:r w:rsidR="00A72CED" w:rsidRPr="00556DC5">
        <w:rPr>
          <w:vertAlign w:val="superscript"/>
        </w:rPr>
        <w:footnoteReference w:id="27"/>
      </w:r>
      <w:r w:rsidR="00A72CED" w:rsidRPr="00A72CED">
        <w:t>.</w:t>
      </w:r>
    </w:p>
    <w:p w14:paraId="740550FB" w14:textId="77777777" w:rsidR="00087F27" w:rsidRDefault="00087F27" w:rsidP="00087F27">
      <w:pPr>
        <w:spacing w:line="276" w:lineRule="auto"/>
        <w:jc w:val="both"/>
      </w:pPr>
    </w:p>
    <w:p w14:paraId="5E08BCA8" w14:textId="63CC388F" w:rsidR="00A72CED" w:rsidRDefault="00A72CED" w:rsidP="00087F27">
      <w:pPr>
        <w:spacing w:line="276" w:lineRule="auto"/>
        <w:ind w:firstLine="708"/>
        <w:jc w:val="both"/>
      </w:pPr>
      <w:r>
        <w:t>Pour sa part, Saint-Martin</w:t>
      </w:r>
      <w:r w:rsidR="00CB734F">
        <w:t>,</w:t>
      </w:r>
      <w:r w:rsidR="00CB734F" w:rsidRPr="00CB734F">
        <w:t xml:space="preserve"> </w:t>
      </w:r>
      <w:r w:rsidR="00D7595E">
        <w:t>« </w:t>
      </w:r>
      <w:r w:rsidR="00CB734F">
        <w:t xml:space="preserve">plus </w:t>
      </w:r>
      <w:r w:rsidR="00CB734F" w:rsidRPr="00921A63">
        <w:t>petite RUP de l</w:t>
      </w:r>
      <w:r w:rsidR="00C46822">
        <w:t>’</w:t>
      </w:r>
      <w:r w:rsidR="00CB734F" w:rsidRPr="00921A63">
        <w:t>UE, véritable petit poucet</w:t>
      </w:r>
      <w:r w:rsidR="00CB734F">
        <w:t> »</w:t>
      </w:r>
      <w:r w:rsidR="00CB734F">
        <w:rPr>
          <w:rStyle w:val="Marquenotebasdepage"/>
        </w:rPr>
        <w:footnoteReference w:id="28"/>
      </w:r>
      <w:r w:rsidR="00CB734F">
        <w:t>,</w:t>
      </w:r>
      <w:r>
        <w:t xml:space="preserve"> </w:t>
      </w:r>
      <w:r w:rsidR="00151124">
        <w:t xml:space="preserve">a décidé de conserver le régime juridique </w:t>
      </w:r>
      <w:r w:rsidR="00087F27">
        <w:t xml:space="preserve">européen </w:t>
      </w:r>
      <w:r w:rsidR="00151124">
        <w:t xml:space="preserve">qui lui était applicable </w:t>
      </w:r>
      <w:r w:rsidR="00087F27">
        <w:t>tout en optant pour un régime de droit interne ma</w:t>
      </w:r>
      <w:r w:rsidR="00B6099B">
        <w:t>rqué du sceau de la spécificité :</w:t>
      </w:r>
      <w:r w:rsidR="00087F27">
        <w:t xml:space="preserve"> </w:t>
      </w:r>
      <w:r w:rsidR="00B6099B">
        <w:t xml:space="preserve">celui de </w:t>
      </w:r>
      <w:r w:rsidR="0010556D">
        <w:t>collectivité d</w:t>
      </w:r>
      <w:r w:rsidR="00C46822">
        <w:t>’</w:t>
      </w:r>
      <w:r w:rsidR="0010556D">
        <w:t>outre-mer (</w:t>
      </w:r>
      <w:r w:rsidR="00B6099B">
        <w:t>COM</w:t>
      </w:r>
      <w:r w:rsidR="0010556D">
        <w:t xml:space="preserve">), attentif </w:t>
      </w:r>
      <w:r w:rsidR="0010556D">
        <w:lastRenderedPageBreak/>
        <w:t>aux particularités locales</w:t>
      </w:r>
      <w:r w:rsidR="004A13A4">
        <w:rPr>
          <w:rStyle w:val="Marquenotebasdepage"/>
        </w:rPr>
        <w:footnoteReference w:id="29"/>
      </w:r>
      <w:r w:rsidR="00B6099B">
        <w:t xml:space="preserve">. </w:t>
      </w:r>
      <w:r w:rsidR="00D7595E">
        <w:t xml:space="preserve">Paradoxe </w:t>
      </w:r>
      <w:r w:rsidR="00B6099B">
        <w:t>que résume le p</w:t>
      </w:r>
      <w:r w:rsidR="00087F27">
        <w:t>rofesseur Loïc Grard : « </w:t>
      </w:r>
      <w:r w:rsidR="00087F27" w:rsidRPr="00087F27">
        <w:t>elle est pleinement européenne, alors qu</w:t>
      </w:r>
      <w:r w:rsidR="00C46822">
        <w:t>’</w:t>
      </w:r>
      <w:r w:rsidR="00087F27" w:rsidRPr="00087F27">
        <w:t>elle est en situation différenciée au regard des lois de la République</w:t>
      </w:r>
      <w:r w:rsidR="00087F27">
        <w:t> »</w:t>
      </w:r>
      <w:r w:rsidR="00087F27">
        <w:rPr>
          <w:rStyle w:val="Marquenotebasdepage"/>
        </w:rPr>
        <w:footnoteReference w:id="30"/>
      </w:r>
      <w:r w:rsidR="00087F27">
        <w:t xml:space="preserve">. Cet entre-deux statutaire </w:t>
      </w:r>
      <w:r w:rsidR="0010556D">
        <w:t>«</w:t>
      </w:r>
      <w:r w:rsidR="0010556D" w:rsidRPr="00921A63">
        <w:t> </w:t>
      </w:r>
      <w:r w:rsidR="00B40F90">
        <w:t>suscite l</w:t>
      </w:r>
      <w:r w:rsidR="00C46822">
        <w:t>’</w:t>
      </w:r>
      <w:r w:rsidR="00B40F90">
        <w:t>intérêt puisqu</w:t>
      </w:r>
      <w:r w:rsidR="00C46822">
        <w:t>’</w:t>
      </w:r>
      <w:r w:rsidR="00B40F90">
        <w:t>il</w:t>
      </w:r>
      <w:r w:rsidR="00CF60A9">
        <w:t xml:space="preserve"> </w:t>
      </w:r>
      <w:r w:rsidR="00B40F90">
        <w:t>révèle</w:t>
      </w:r>
      <w:r w:rsidR="00CF60A9">
        <w:t xml:space="preserve"> les potenti</w:t>
      </w:r>
      <w:r w:rsidR="00B40F90">
        <w:t>alités de</w:t>
      </w:r>
      <w:r w:rsidR="00087F27">
        <w:t xml:space="preserve"> </w:t>
      </w:r>
      <w:r w:rsidR="00B6099B">
        <w:t>l</w:t>
      </w:r>
      <w:r w:rsidR="00C46822">
        <w:t>’</w:t>
      </w:r>
      <w:r w:rsidR="005C08F9">
        <w:t>article 355</w:t>
      </w:r>
      <w:r w:rsidR="00B6099B">
        <w:t xml:space="preserve"> § 6</w:t>
      </w:r>
      <w:r w:rsidR="00CF60A9">
        <w:t xml:space="preserve"> TFUE </w:t>
      </w:r>
      <w:r w:rsidR="00B40F90">
        <w:t xml:space="preserve">qui </w:t>
      </w:r>
      <w:r w:rsidR="00CF60A9">
        <w:t>précise le point de départ statutaire, RUP ou PTOM, mais non le point d</w:t>
      </w:r>
      <w:r w:rsidR="00C46822">
        <w:t>’</w:t>
      </w:r>
      <w:r w:rsidR="00B40F90">
        <w:t>arrivée. E</w:t>
      </w:r>
      <w:r w:rsidR="00CF60A9">
        <w:t xml:space="preserve">st seulement mentionnée « une </w:t>
      </w:r>
      <w:r w:rsidR="00CF60A9" w:rsidRPr="00CF60A9">
        <w:t>décision modifiant le statut à l</w:t>
      </w:r>
      <w:r w:rsidR="00C46822">
        <w:t>’</w:t>
      </w:r>
      <w:r w:rsidR="00CF60A9" w:rsidRPr="00CF60A9">
        <w:t>égard de l</w:t>
      </w:r>
      <w:r w:rsidR="00C46822">
        <w:t>’</w:t>
      </w:r>
      <w:r w:rsidR="00CF60A9" w:rsidRPr="00CF60A9">
        <w:t>Union</w:t>
      </w:r>
      <w:r w:rsidR="00CF60A9">
        <w:t xml:space="preserve"> » sans renvoyer à une catégorie préexistante (RUP ou PTOM). Ainsi, comme le souligne </w:t>
      </w:r>
      <w:r w:rsidR="00087F27">
        <w:t>le professeur Danielle</w:t>
      </w:r>
      <w:r w:rsidR="00CF60A9">
        <w:t xml:space="preserve"> Perrot : « I</w:t>
      </w:r>
      <w:r w:rsidR="00CF60A9" w:rsidRPr="00CF60A9">
        <w:rPr>
          <w:lang w:eastAsia="en-US"/>
        </w:rPr>
        <w:t>l pourrait donc être tentant pour chacune des régions concernées de rechercher un statut inédit, cumulant les avantages de l</w:t>
      </w:r>
      <w:r w:rsidR="00C46822">
        <w:rPr>
          <w:lang w:eastAsia="en-US"/>
        </w:rPr>
        <w:t>’</w:t>
      </w:r>
      <w:r w:rsidR="00CF60A9" w:rsidRPr="00CF60A9">
        <w:rPr>
          <w:lang w:eastAsia="en-US"/>
        </w:rPr>
        <w:t>un des types existants et gommant les inconvénients de l</w:t>
      </w:r>
      <w:r w:rsidR="00C46822">
        <w:rPr>
          <w:lang w:eastAsia="en-US"/>
        </w:rPr>
        <w:t>’</w:t>
      </w:r>
      <w:r w:rsidR="00CF60A9" w:rsidRPr="00CF60A9">
        <w:rPr>
          <w:lang w:eastAsia="en-US"/>
        </w:rPr>
        <w:t>autre</w:t>
      </w:r>
      <w:r w:rsidR="00CF60A9">
        <w:rPr>
          <w:lang w:eastAsia="en-US"/>
        </w:rPr>
        <w:t> »</w:t>
      </w:r>
      <w:r w:rsidR="00CF60A9">
        <w:rPr>
          <w:rStyle w:val="Marquenotebasdepage"/>
          <w:lang w:eastAsia="en-US"/>
        </w:rPr>
        <w:footnoteReference w:id="31"/>
      </w:r>
      <w:r w:rsidR="00CF60A9">
        <w:rPr>
          <w:lang w:eastAsia="en-US"/>
        </w:rPr>
        <w:t>.</w:t>
      </w:r>
      <w:r w:rsidR="00CF60A9">
        <w:t xml:space="preserve"> </w:t>
      </w:r>
      <w:r w:rsidR="0089236D">
        <w:t>Ainsi au-delà d</w:t>
      </w:r>
      <w:r w:rsidR="00C46822">
        <w:t>’</w:t>
      </w:r>
      <w:r w:rsidR="0089236D">
        <w:t xml:space="preserve">une inversion statutaire </w:t>
      </w:r>
      <w:r w:rsidR="00D36A12">
        <w:t>entre ces deux statuts juridiques, l</w:t>
      </w:r>
      <w:r w:rsidR="00C46822">
        <w:t>’</w:t>
      </w:r>
      <w:r w:rsidR="00D36A12">
        <w:t>élaboration d</w:t>
      </w:r>
      <w:r w:rsidR="00C46822">
        <w:t>’</w:t>
      </w:r>
      <w:r w:rsidR="00D36A12">
        <w:t xml:space="preserve">un statut </w:t>
      </w:r>
      <w:r w:rsidR="00D36A12" w:rsidRPr="00B6099B">
        <w:rPr>
          <w:i/>
        </w:rPr>
        <w:t>sui</w:t>
      </w:r>
      <w:r w:rsidR="00B21B0B" w:rsidRPr="00B6099B">
        <w:rPr>
          <w:i/>
        </w:rPr>
        <w:t xml:space="preserve"> generis</w:t>
      </w:r>
      <w:r w:rsidR="00B21B0B">
        <w:t xml:space="preserve"> est à envisager</w:t>
      </w:r>
      <w:r w:rsidR="00AC1799" w:rsidRPr="00556DC5">
        <w:rPr>
          <w:vertAlign w:val="superscript"/>
        </w:rPr>
        <w:footnoteReference w:id="32"/>
      </w:r>
      <w:r w:rsidR="00AC1799" w:rsidRPr="00556DC5">
        <w:t>.</w:t>
      </w:r>
    </w:p>
    <w:p w14:paraId="442CE8C0" w14:textId="77777777" w:rsidR="00D85D17" w:rsidRDefault="00D85D17" w:rsidP="00B964CE">
      <w:pPr>
        <w:spacing w:line="276" w:lineRule="auto"/>
        <w:jc w:val="both"/>
      </w:pPr>
    </w:p>
    <w:p w14:paraId="76926057" w14:textId="643C4092" w:rsidR="004D4314" w:rsidRPr="00B964CE" w:rsidRDefault="00732996" w:rsidP="00B964CE">
      <w:pPr>
        <w:spacing w:line="276" w:lineRule="auto"/>
        <w:ind w:firstLine="708"/>
        <w:jc w:val="both"/>
      </w:pPr>
      <w:r>
        <w:t>Cette éventualité est loin d</w:t>
      </w:r>
      <w:r w:rsidR="00C46822">
        <w:t>’</w:t>
      </w:r>
      <w:r>
        <w:t>épuiser les potentialités du statut d</w:t>
      </w:r>
      <w:r w:rsidR="005C08F9">
        <w:t>e RUP</w:t>
      </w:r>
      <w:r>
        <w:t xml:space="preserve"> dans la mesure où </w:t>
      </w:r>
      <w:r w:rsidR="005C08F9">
        <w:t>sa mise en oeuvre</w:t>
      </w:r>
      <w:r>
        <w:t xml:space="preserve"> fait débat. La Commission attachée à la pleine application du droit porte une vision restrictive </w:t>
      </w:r>
      <w:r w:rsidR="00236570">
        <w:t>heurtant les régions concernées</w:t>
      </w:r>
      <w:r w:rsidR="009C2ADF">
        <w:t>, dont l</w:t>
      </w:r>
      <w:r w:rsidR="00206864">
        <w:t>es représentants</w:t>
      </w:r>
      <w:r w:rsidR="009C2ADF">
        <w:t xml:space="preserve"> affirme</w:t>
      </w:r>
      <w:r w:rsidR="00206864">
        <w:t xml:space="preserve">nt </w:t>
      </w:r>
      <w:r w:rsidR="009C2ADF">
        <w:t xml:space="preserve">en sens inverse </w:t>
      </w:r>
      <w:r w:rsidR="00206864">
        <w:t>qu</w:t>
      </w:r>
      <w:r w:rsidR="00C46822">
        <w:t>’</w:t>
      </w:r>
      <w:r w:rsidR="00206864">
        <w:t>il</w:t>
      </w:r>
      <w:r w:rsidR="00B6099B">
        <w:t xml:space="preserve"> </w:t>
      </w:r>
      <w:r w:rsidR="00206864" w:rsidRPr="00206864">
        <w:t xml:space="preserve">est </w:t>
      </w:r>
      <w:r w:rsidR="00D7595E">
        <w:t>« </w:t>
      </w:r>
      <w:r w:rsidR="00206864" w:rsidRPr="00206864">
        <w:t>primordial de concrétiser et d</w:t>
      </w:r>
      <w:r w:rsidR="00C46822">
        <w:t>’</w:t>
      </w:r>
      <w:r w:rsidR="00206864" w:rsidRPr="00206864">
        <w:t>exploiter toutes les possibilités offertes par l</w:t>
      </w:r>
      <w:r w:rsidR="00C46822">
        <w:t>’</w:t>
      </w:r>
      <w:r w:rsidR="00206864" w:rsidRPr="00206864">
        <w:t>article 349 du TFUE, en s</w:t>
      </w:r>
      <w:r w:rsidR="00C46822">
        <w:t>’</w:t>
      </w:r>
      <w:r w:rsidR="00206864" w:rsidRPr="00206864">
        <w:t>y référant de façon systématique, en amont, lors de l</w:t>
      </w:r>
      <w:r w:rsidR="00C46822">
        <w:t>’</w:t>
      </w:r>
      <w:r w:rsidR="00206864" w:rsidRPr="00206864">
        <w:t>élaboration des différentes politiques susceptibles de produire leurs effets sur les RUP</w:t>
      </w:r>
      <w:r w:rsidR="00206864">
        <w:t> »</w:t>
      </w:r>
      <w:r w:rsidR="00206864">
        <w:rPr>
          <w:rStyle w:val="Marquenotebasdepage"/>
        </w:rPr>
        <w:footnoteReference w:id="33"/>
      </w:r>
      <w:r w:rsidR="00206864">
        <w:t xml:space="preserve">. </w:t>
      </w:r>
      <w:r w:rsidR="00CB734F">
        <w:t>C</w:t>
      </w:r>
      <w:r w:rsidR="00C46822">
        <w:t>’</w:t>
      </w:r>
      <w:r w:rsidR="00CB734F">
        <w:t xml:space="preserve">est dans ce contexte que </w:t>
      </w:r>
      <w:r w:rsidR="00206864">
        <w:t xml:space="preserve">la communication de la Commission </w:t>
      </w:r>
      <w:r w:rsidR="00C47675">
        <w:t>du 24 octobre 2017</w:t>
      </w:r>
      <w:r w:rsidR="00F46AF9">
        <w:t xml:space="preserve"> annonce une « nouvelle approche »</w:t>
      </w:r>
      <w:r w:rsidR="00C47675">
        <w:rPr>
          <w:rStyle w:val="Marquenotebasdepage"/>
        </w:rPr>
        <w:footnoteReference w:id="34"/>
      </w:r>
      <w:r w:rsidR="00F46AF9">
        <w:t xml:space="preserve">. Ses incidences demeureront sans doute limitées dans la mesure où cédant à certaines facilités langagières, la Commission avait déjà lancé </w:t>
      </w:r>
      <w:r w:rsidR="00D7595E">
        <w:t xml:space="preserve">en 2008 </w:t>
      </w:r>
      <w:r w:rsidR="00F46AF9">
        <w:t xml:space="preserve">un </w:t>
      </w:r>
      <w:r w:rsidR="00BA72E9">
        <w:t>« nouveau paradigme »</w:t>
      </w:r>
      <w:r w:rsidR="00BA72E9">
        <w:rPr>
          <w:rStyle w:val="Marquenotebasdepage"/>
        </w:rPr>
        <w:footnoteReference w:id="35"/>
      </w:r>
      <w:r w:rsidR="00F46AF9">
        <w:t xml:space="preserve"> à la faible portée. Il est à craindre que cette « nouvelle approche », sorte de </w:t>
      </w:r>
      <w:r w:rsidR="00F46AF9" w:rsidRPr="009C2ADF">
        <w:rPr>
          <w:i/>
        </w:rPr>
        <w:t>nouveau</w:t>
      </w:r>
      <w:r w:rsidR="00F46AF9">
        <w:t xml:space="preserve"> « nouveau paradigme »</w:t>
      </w:r>
      <w:r w:rsidR="00D7595E">
        <w:t>,</w:t>
      </w:r>
      <w:r w:rsidR="00F46AF9">
        <w:t xml:space="preserve"> </w:t>
      </w:r>
      <w:r w:rsidR="009C2ADF">
        <w:t>constitue une illustration supplémentaire « d</w:t>
      </w:r>
      <w:r w:rsidR="00C46822">
        <w:t>’</w:t>
      </w:r>
      <w:r w:rsidR="009C2ADF">
        <w:t>un</w:t>
      </w:r>
      <w:r w:rsidR="009C2ADF" w:rsidRPr="00236570">
        <w:t xml:space="preserve"> blocage plus ou</w:t>
      </w:r>
      <w:r w:rsidR="009C2ADF">
        <w:t xml:space="preserve"> </w:t>
      </w:r>
      <w:r w:rsidR="009C2ADF" w:rsidRPr="00236570">
        <w:t>moins dissimulé sous des échanges de rapports répétitifs depuis plusieurs décennies</w:t>
      </w:r>
      <w:r w:rsidR="009C2ADF">
        <w:t> »</w:t>
      </w:r>
      <w:r w:rsidR="009C2ADF">
        <w:rPr>
          <w:rStyle w:val="Marquenotebasdepage"/>
        </w:rPr>
        <w:footnoteReference w:id="36"/>
      </w:r>
      <w:r w:rsidR="009C2ADF">
        <w:t xml:space="preserve"> élaborés par la Commission. C</w:t>
      </w:r>
      <w:r w:rsidR="007D2E96">
        <w:t xml:space="preserve">ette </w:t>
      </w:r>
      <w:r w:rsidR="00B84A27">
        <w:t xml:space="preserve">tension </w:t>
      </w:r>
      <w:r w:rsidR="007D2E96">
        <w:t>résulte du cheminement des traités entre</w:t>
      </w:r>
      <w:r w:rsidR="00B84A27">
        <w:t xml:space="preserve"> l</w:t>
      </w:r>
      <w:r w:rsidR="00C46822">
        <w:t>’</w:t>
      </w:r>
      <w:r w:rsidR="00B84A27">
        <w:t>affirmation un</w:t>
      </w:r>
      <w:r w:rsidR="004D4314">
        <w:t xml:space="preserve">ivoque de la soumission territoriale des </w:t>
      </w:r>
      <w:r w:rsidR="0018159A">
        <w:t>outremer</w:t>
      </w:r>
      <w:r w:rsidR="00124305">
        <w:t xml:space="preserve"> au droit communautaire</w:t>
      </w:r>
      <w:r w:rsidR="009C2ADF">
        <w:t xml:space="preserve"> - à laquelle veille la Commission en sa qualité de gardienne des traités-,</w:t>
      </w:r>
      <w:r w:rsidR="004D4314">
        <w:t xml:space="preserve"> sous réserve d</w:t>
      </w:r>
      <w:r w:rsidR="00C46822">
        <w:t>’</w:t>
      </w:r>
      <w:r w:rsidR="007D2E96">
        <w:t>exceptions sélectives</w:t>
      </w:r>
      <w:r w:rsidR="00124305">
        <w:t>,</w:t>
      </w:r>
      <w:r w:rsidR="004D4314">
        <w:t xml:space="preserve"> </w:t>
      </w:r>
      <w:r w:rsidR="007D2E96">
        <w:t>vers</w:t>
      </w:r>
      <w:r w:rsidR="00124305">
        <w:t xml:space="preserve"> une intégration matériellement différenciée par l</w:t>
      </w:r>
      <w:r w:rsidR="00C46822">
        <w:t>’</w:t>
      </w:r>
      <w:r w:rsidR="00124305">
        <w:t>habillage de mesures spécifiques au bénéfice des RUP.</w:t>
      </w:r>
      <w:r w:rsidR="007D2E96">
        <w:t xml:space="preserve"> </w:t>
      </w:r>
      <w:r w:rsidR="00656044">
        <w:t>En d</w:t>
      </w:r>
      <w:r w:rsidR="00C46822">
        <w:t>’</w:t>
      </w:r>
      <w:r w:rsidR="00656044">
        <w:t>autres termes, l</w:t>
      </w:r>
      <w:r w:rsidR="00C46822">
        <w:t>’</w:t>
      </w:r>
      <w:r w:rsidR="00656044">
        <w:t xml:space="preserve">application sélective du droit communautaire aux outre-mer </w:t>
      </w:r>
      <w:r w:rsidR="004E45B6">
        <w:t xml:space="preserve">témoigne </w:t>
      </w:r>
      <w:r w:rsidR="00D7595E">
        <w:t>initialement d</w:t>
      </w:r>
      <w:r w:rsidR="00C46822">
        <w:t>’</w:t>
      </w:r>
      <w:r w:rsidR="00D7595E">
        <w:t>une</w:t>
      </w:r>
      <w:r w:rsidR="004E45B6">
        <w:t xml:space="preserve"> préférence laissée à une exception-exclusion cédant peu à peu devant une exception-adaptation (I). Sa reconnaissance par l</w:t>
      </w:r>
      <w:r w:rsidR="00C46822">
        <w:t>’</w:t>
      </w:r>
      <w:r w:rsidR="004E45B6">
        <w:t>octroi du statut de RUP, consolidé</w:t>
      </w:r>
      <w:r w:rsidR="0018159A">
        <w:t>e</w:t>
      </w:r>
      <w:r w:rsidR="00B964CE">
        <w:t xml:space="preserve"> </w:t>
      </w:r>
      <w:r w:rsidR="00F57140">
        <w:t>par le traité de Lisbonne</w:t>
      </w:r>
      <w:r w:rsidR="00F57140">
        <w:rPr>
          <w:rStyle w:val="Marquenotebasdepage"/>
        </w:rPr>
        <w:footnoteReference w:id="37"/>
      </w:r>
      <w:r w:rsidR="00D7595E">
        <w:t>,</w:t>
      </w:r>
      <w:r w:rsidR="00F57140">
        <w:t xml:space="preserve"> </w:t>
      </w:r>
      <w:r w:rsidR="007E123F">
        <w:t>nourrit leurs aspirations</w:t>
      </w:r>
      <w:r w:rsidR="008813D2">
        <w:t xml:space="preserve"> à </w:t>
      </w:r>
      <w:r w:rsidR="00D7595E">
        <w:t>la généralisation d</w:t>
      </w:r>
      <w:r w:rsidR="00C46822">
        <w:t>’</w:t>
      </w:r>
      <w:r w:rsidR="008813D2">
        <w:t>un traitement dérogatoire. De sorte que l</w:t>
      </w:r>
      <w:r w:rsidR="00C46822">
        <w:t>’</w:t>
      </w:r>
      <w:r w:rsidR="008813D2">
        <w:t>application spécifique du droit de l</w:t>
      </w:r>
      <w:r w:rsidR="00C46822">
        <w:t>’</w:t>
      </w:r>
      <w:r w:rsidR="008813D2">
        <w:t>Union ouvre la voie à une généralisation de l</w:t>
      </w:r>
      <w:r w:rsidR="00C46822">
        <w:t>’</w:t>
      </w:r>
      <w:r w:rsidR="008813D2">
        <w:t>exception-adaptation (II)</w:t>
      </w:r>
      <w:r w:rsidR="005A5956">
        <w:t>.</w:t>
      </w:r>
    </w:p>
    <w:p w14:paraId="3684B9B5" w14:textId="77777777" w:rsidR="00FE02FC" w:rsidRDefault="00FE02FC" w:rsidP="00D85D17">
      <w:pPr>
        <w:spacing w:line="276" w:lineRule="auto"/>
        <w:jc w:val="both"/>
      </w:pPr>
    </w:p>
    <w:p w14:paraId="7927431E" w14:textId="783AE25E" w:rsidR="00B964CE" w:rsidRPr="004D4314" w:rsidRDefault="00B964CE" w:rsidP="00B964CE">
      <w:pPr>
        <w:spacing w:line="276" w:lineRule="auto"/>
        <w:jc w:val="both"/>
        <w:rPr>
          <w:b/>
        </w:rPr>
      </w:pPr>
      <w:r w:rsidRPr="004D4314">
        <w:rPr>
          <w:b/>
        </w:rPr>
        <w:t>I – L</w:t>
      </w:r>
      <w:r w:rsidR="00C46822">
        <w:rPr>
          <w:b/>
        </w:rPr>
        <w:t>’</w:t>
      </w:r>
      <w:r>
        <w:rPr>
          <w:b/>
        </w:rPr>
        <w:t>application sélective du dr</w:t>
      </w:r>
      <w:r w:rsidR="008813D2">
        <w:rPr>
          <w:b/>
        </w:rPr>
        <w:t>oit communautaire aux outre-mer</w:t>
      </w:r>
      <w:r>
        <w:rPr>
          <w:b/>
        </w:rPr>
        <w:t> : de l</w:t>
      </w:r>
      <w:r w:rsidR="00C46822">
        <w:rPr>
          <w:b/>
        </w:rPr>
        <w:t>’</w:t>
      </w:r>
      <w:r>
        <w:rPr>
          <w:b/>
        </w:rPr>
        <w:t>exception-exclusion à l</w:t>
      </w:r>
      <w:r w:rsidR="00C46822">
        <w:rPr>
          <w:b/>
        </w:rPr>
        <w:t>’</w:t>
      </w:r>
      <w:r>
        <w:rPr>
          <w:b/>
        </w:rPr>
        <w:t xml:space="preserve">exception-adaptation </w:t>
      </w:r>
    </w:p>
    <w:p w14:paraId="362FBD9B" w14:textId="77777777" w:rsidR="00E1131A" w:rsidRDefault="00E1131A" w:rsidP="00D85D17">
      <w:pPr>
        <w:spacing w:line="276" w:lineRule="auto"/>
        <w:jc w:val="both"/>
      </w:pPr>
    </w:p>
    <w:p w14:paraId="52B5AFDE" w14:textId="0D861281" w:rsidR="008F22F2" w:rsidRDefault="00781BBC" w:rsidP="008F22F2">
      <w:pPr>
        <w:spacing w:line="276" w:lineRule="auto"/>
        <w:jc w:val="both"/>
      </w:pPr>
      <w:r>
        <w:tab/>
        <w:t>Le droit communautaire e</w:t>
      </w:r>
      <w:r w:rsidR="008813D2">
        <w:t>st conçu initialement sur un registr</w:t>
      </w:r>
      <w:r>
        <w:t>e binaire, soit il s</w:t>
      </w:r>
      <w:r w:rsidR="00C46822">
        <w:t>’</w:t>
      </w:r>
      <w:r>
        <w:t>applique pleinement aux territoires d</w:t>
      </w:r>
      <w:r w:rsidR="00C46822">
        <w:t>’</w:t>
      </w:r>
      <w:r>
        <w:t>outre-mer, soit ils peuvent y échapper suivant une approche sélective excluant certaines matières de son domaine</w:t>
      </w:r>
      <w:r w:rsidR="00A75B71">
        <w:t>, illustrative d</w:t>
      </w:r>
      <w:r w:rsidR="00C46822">
        <w:t>’</w:t>
      </w:r>
      <w:r w:rsidR="00A75B71">
        <w:t>une exception-exclusion</w:t>
      </w:r>
      <w:r>
        <w:t xml:space="preserve">. </w:t>
      </w:r>
      <w:r w:rsidR="008F22F2">
        <w:t>Cette application territoriale sous réserve d</w:t>
      </w:r>
      <w:r w:rsidR="00C46822">
        <w:t>’</w:t>
      </w:r>
      <w:r w:rsidR="008F22F2">
        <w:t>exceptions sélectives est la contrepartie du principe de l</w:t>
      </w:r>
      <w:r w:rsidR="00D7595E">
        <w:t xml:space="preserve">eur </w:t>
      </w:r>
      <w:r w:rsidR="008F22F2">
        <w:t>intégration (A)</w:t>
      </w:r>
      <w:r w:rsidR="00A75B71">
        <w:t>. Le caractère assez fruste de cette alternative exp</w:t>
      </w:r>
      <w:r w:rsidR="00951B23">
        <w:t>lique le passage vers une except</w:t>
      </w:r>
      <w:r w:rsidR="008813D2">
        <w:t xml:space="preserve">ion-dérogation </w:t>
      </w:r>
      <w:r w:rsidR="00A75B71">
        <w:t>propice à l</w:t>
      </w:r>
      <w:r w:rsidR="008813D2">
        <w:t>a réalisation</w:t>
      </w:r>
      <w:r w:rsidR="00A75B71">
        <w:t xml:space="preserve"> d</w:t>
      </w:r>
      <w:r w:rsidR="00C46822">
        <w:t>’</w:t>
      </w:r>
      <w:r w:rsidR="00A75B71">
        <w:t>une intégration différenciée</w:t>
      </w:r>
      <w:r w:rsidR="00951B23">
        <w:t xml:space="preserve"> ; si la première est assimilable à une exception par soustraction, la seconde, </w:t>
      </w:r>
      <w:r w:rsidR="00381CF7">
        <w:t>l</w:t>
      </w:r>
      <w:r w:rsidR="00C46822">
        <w:t>’</w:t>
      </w:r>
      <w:r w:rsidR="00381CF7">
        <w:t xml:space="preserve">est à </w:t>
      </w:r>
      <w:r w:rsidR="002E2B0D">
        <w:t xml:space="preserve">une </w:t>
      </w:r>
      <w:r w:rsidR="00951B23">
        <w:t xml:space="preserve">exception par addition </w:t>
      </w:r>
      <w:r w:rsidR="00381CF7">
        <w:t xml:space="preserve">ou adaptation. </w:t>
      </w:r>
      <w:r w:rsidR="002E2B0D">
        <w:t>Ce mouvement résulte de la construction d</w:t>
      </w:r>
      <w:r w:rsidR="00C46822">
        <w:t>’</w:t>
      </w:r>
      <w:r w:rsidR="002E2B0D">
        <w:t>une notion : celle de régions ultrapériphériques (B).</w:t>
      </w:r>
    </w:p>
    <w:p w14:paraId="19A11380" w14:textId="77777777" w:rsidR="00781BBC" w:rsidRDefault="00781BBC" w:rsidP="00D85D17">
      <w:pPr>
        <w:spacing w:line="276" w:lineRule="auto"/>
        <w:jc w:val="both"/>
      </w:pPr>
    </w:p>
    <w:p w14:paraId="2C0FF81E" w14:textId="371C66C6" w:rsidR="00763519" w:rsidRDefault="00A31B46" w:rsidP="00D85D17">
      <w:pPr>
        <w:spacing w:line="276" w:lineRule="auto"/>
        <w:jc w:val="both"/>
      </w:pPr>
      <w:r>
        <w:t xml:space="preserve">A) </w:t>
      </w:r>
      <w:r w:rsidR="00763519">
        <w:t>L</w:t>
      </w:r>
      <w:r w:rsidR="00C46822">
        <w:t>’</w:t>
      </w:r>
      <w:r w:rsidR="00E1131A">
        <w:t xml:space="preserve">intégration </w:t>
      </w:r>
      <w:r w:rsidR="00951B23">
        <w:t xml:space="preserve">territoriale </w:t>
      </w:r>
      <w:r w:rsidR="007E2759">
        <w:t>de l</w:t>
      </w:r>
      <w:r w:rsidR="00C46822">
        <w:t>’</w:t>
      </w:r>
      <w:r w:rsidR="007E2759">
        <w:t xml:space="preserve">outre-mer </w:t>
      </w:r>
      <w:r w:rsidR="008813D2">
        <w:t>européen assortie d</w:t>
      </w:r>
      <w:r w:rsidR="00C46822">
        <w:t>’</w:t>
      </w:r>
      <w:r w:rsidR="00951B23">
        <w:t>une exception par soustraction</w:t>
      </w:r>
    </w:p>
    <w:p w14:paraId="7BAE73CE" w14:textId="77777777" w:rsidR="00763519" w:rsidRDefault="00763519" w:rsidP="00D85D17">
      <w:pPr>
        <w:spacing w:line="276" w:lineRule="auto"/>
        <w:jc w:val="both"/>
      </w:pPr>
    </w:p>
    <w:p w14:paraId="6725C109" w14:textId="039CCB8D" w:rsidR="00A31B46" w:rsidRDefault="00763519" w:rsidP="00B00A8E">
      <w:pPr>
        <w:spacing w:line="276" w:lineRule="auto"/>
        <w:jc w:val="both"/>
        <w:rPr>
          <w:iCs/>
        </w:rPr>
      </w:pPr>
      <w:r>
        <w:tab/>
        <w:t>L</w:t>
      </w:r>
      <w:r w:rsidR="00951B23">
        <w:t>e régime de l</w:t>
      </w:r>
      <w:r w:rsidR="00C46822">
        <w:t>’</w:t>
      </w:r>
      <w:r>
        <w:t xml:space="preserve">outre-mer européen </w:t>
      </w:r>
      <w:r w:rsidR="00951B23">
        <w:t>est partagé entre deux parts inégales :</w:t>
      </w:r>
      <w:r>
        <w:t xml:space="preserve"> l</w:t>
      </w:r>
      <w:r w:rsidR="00C46822">
        <w:t>’</w:t>
      </w:r>
      <w:r>
        <w:t>application du droit communautaire</w:t>
      </w:r>
      <w:r w:rsidR="00951B23">
        <w:t> ; l</w:t>
      </w:r>
      <w:r w:rsidR="00C46822">
        <w:t>’</w:t>
      </w:r>
      <w:r w:rsidR="00951B23">
        <w:t>exclusion sélective de certaines matières</w:t>
      </w:r>
      <w:r>
        <w:t xml:space="preserve">. </w:t>
      </w:r>
      <w:r w:rsidR="00B8542B">
        <w:t>S</w:t>
      </w:r>
      <w:r w:rsidR="00AF77DC">
        <w:t>a situation est simple</w:t>
      </w:r>
      <w:r w:rsidR="00B8542B">
        <w:t xml:space="preserve"> au regard du droit naissant puisque selon </w:t>
      </w:r>
      <w:r w:rsidR="002C6D3D">
        <w:t>l</w:t>
      </w:r>
      <w:r w:rsidR="00C46822">
        <w:t>’</w:t>
      </w:r>
      <w:r w:rsidR="002C6D3D">
        <w:t>article 79 al</w:t>
      </w:r>
      <w:r w:rsidR="00B8542B">
        <w:t>.</w:t>
      </w:r>
      <w:r w:rsidR="002C6D3D">
        <w:t xml:space="preserve"> 1 du</w:t>
      </w:r>
      <w:r w:rsidR="00AF77DC">
        <w:t xml:space="preserve"> traité </w:t>
      </w:r>
      <w:r>
        <w:t xml:space="preserve">instituant la </w:t>
      </w:r>
      <w:r w:rsidR="00AF77DC">
        <w:t>C</w:t>
      </w:r>
      <w:r>
        <w:t>ommunauté européenne du charbon et de l</w:t>
      </w:r>
      <w:r w:rsidR="00C46822">
        <w:t>’</w:t>
      </w:r>
      <w:r>
        <w:t>acier</w:t>
      </w:r>
      <w:r w:rsidR="00AF77DC">
        <w:t xml:space="preserve"> </w:t>
      </w:r>
      <w:r w:rsidR="00B8542B">
        <w:t xml:space="preserve">(CEEA) </w:t>
      </w:r>
      <w:r w:rsidR="002C6D3D" w:rsidRPr="002C6D3D">
        <w:t>du 18 avril 1951</w:t>
      </w:r>
      <w:r w:rsidR="002C6D3D">
        <w:t> : « </w:t>
      </w:r>
      <w:r w:rsidR="002C6D3D" w:rsidRPr="002C6D3D">
        <w:rPr>
          <w:iCs/>
        </w:rPr>
        <w:t>Le présent traité est applicable aux territoires européens d</w:t>
      </w:r>
      <w:r w:rsidR="002C6D3D">
        <w:rPr>
          <w:iCs/>
        </w:rPr>
        <w:t xml:space="preserve">es hautes parties contractantes ». </w:t>
      </w:r>
      <w:r w:rsidR="00694E6B">
        <w:rPr>
          <w:iCs/>
        </w:rPr>
        <w:t>Tournée vers le charbon et l</w:t>
      </w:r>
      <w:r w:rsidR="00C46822">
        <w:rPr>
          <w:iCs/>
        </w:rPr>
        <w:t>’</w:t>
      </w:r>
      <w:r w:rsidR="00694E6B">
        <w:rPr>
          <w:iCs/>
        </w:rPr>
        <w:t>acier, matière première et production industrielle absente des départements d</w:t>
      </w:r>
      <w:r w:rsidR="00C46822">
        <w:rPr>
          <w:iCs/>
        </w:rPr>
        <w:t>’</w:t>
      </w:r>
      <w:r w:rsidR="00694E6B">
        <w:rPr>
          <w:iCs/>
        </w:rPr>
        <w:t>outre-mer, l</w:t>
      </w:r>
      <w:r w:rsidR="00C46822">
        <w:rPr>
          <w:iCs/>
        </w:rPr>
        <w:t>’</w:t>
      </w:r>
      <w:r w:rsidR="00694E6B">
        <w:rPr>
          <w:iCs/>
        </w:rPr>
        <w:t>application territoriale du droit communautaire est ainsi circonscrite à l</w:t>
      </w:r>
      <w:r w:rsidR="00C46822">
        <w:rPr>
          <w:iCs/>
        </w:rPr>
        <w:t>’</w:t>
      </w:r>
      <w:r w:rsidR="00694E6B">
        <w:rPr>
          <w:iCs/>
        </w:rPr>
        <w:t>Europe géographique</w:t>
      </w:r>
      <w:r w:rsidR="00694E6B">
        <w:rPr>
          <w:rStyle w:val="Marquenotebasdepage"/>
          <w:iCs/>
        </w:rPr>
        <w:footnoteReference w:id="38"/>
      </w:r>
      <w:r w:rsidR="00694E6B">
        <w:rPr>
          <w:iCs/>
        </w:rPr>
        <w:t>.</w:t>
      </w:r>
      <w:r w:rsidR="00480F17">
        <w:rPr>
          <w:iCs/>
        </w:rPr>
        <w:t xml:space="preserve"> Ici l</w:t>
      </w:r>
      <w:r w:rsidR="00C46822">
        <w:rPr>
          <w:iCs/>
        </w:rPr>
        <w:t>’</w:t>
      </w:r>
      <w:r w:rsidR="00480F17">
        <w:rPr>
          <w:iCs/>
        </w:rPr>
        <w:t>exception procède du premier sens qui y est attachée et renvoie à son étymologie</w:t>
      </w:r>
      <w:r w:rsidR="008813D2">
        <w:rPr>
          <w:iCs/>
        </w:rPr>
        <w:t xml:space="preserve"> : </w:t>
      </w:r>
      <w:r w:rsidR="00480F17">
        <w:rPr>
          <w:iCs/>
        </w:rPr>
        <w:t>« (</w:t>
      </w:r>
      <w:r w:rsidR="00480F17" w:rsidRPr="00480F17">
        <w:rPr>
          <w:i/>
          <w:iCs/>
        </w:rPr>
        <w:t>ex-</w:t>
      </w:r>
      <w:proofErr w:type="spellStart"/>
      <w:r w:rsidR="00480F17" w:rsidRPr="00480F17">
        <w:rPr>
          <w:i/>
          <w:iCs/>
        </w:rPr>
        <w:t>capere</w:t>
      </w:r>
      <w:proofErr w:type="spellEnd"/>
      <w:r w:rsidR="00480F17">
        <w:rPr>
          <w:iCs/>
        </w:rPr>
        <w:t>), elle est ce qui est hors de prise »</w:t>
      </w:r>
      <w:r w:rsidR="00480F17">
        <w:rPr>
          <w:rStyle w:val="Marquenotebasdepage"/>
          <w:iCs/>
        </w:rPr>
        <w:footnoteReference w:id="39"/>
      </w:r>
      <w:r w:rsidR="00480F17">
        <w:rPr>
          <w:iCs/>
        </w:rPr>
        <w:t>.</w:t>
      </w:r>
    </w:p>
    <w:p w14:paraId="675A236B" w14:textId="77777777" w:rsidR="00A31B46" w:rsidRDefault="00A31B46" w:rsidP="00B00A8E">
      <w:pPr>
        <w:spacing w:line="276" w:lineRule="auto"/>
        <w:jc w:val="both"/>
        <w:rPr>
          <w:iCs/>
        </w:rPr>
      </w:pPr>
    </w:p>
    <w:p w14:paraId="462E82DE" w14:textId="2CA9888E" w:rsidR="00B00A8E" w:rsidRDefault="00FD3713" w:rsidP="00A31B46">
      <w:pPr>
        <w:spacing w:line="276" w:lineRule="auto"/>
        <w:ind w:firstLine="708"/>
        <w:jc w:val="both"/>
        <w:rPr>
          <w:iCs/>
        </w:rPr>
      </w:pPr>
      <w:r>
        <w:rPr>
          <w:iCs/>
        </w:rPr>
        <w:t>En revanche, alors que le secteur concerné – l</w:t>
      </w:r>
      <w:r w:rsidR="002F5C6F">
        <w:rPr>
          <w:iCs/>
        </w:rPr>
        <w:t>e nucléaire civil</w:t>
      </w:r>
      <w:r>
        <w:rPr>
          <w:iCs/>
        </w:rPr>
        <w:t xml:space="preserve"> </w:t>
      </w:r>
      <w:r w:rsidR="002F5C6F">
        <w:rPr>
          <w:iCs/>
        </w:rPr>
        <w:t>–</w:t>
      </w:r>
      <w:r>
        <w:rPr>
          <w:iCs/>
        </w:rPr>
        <w:t xml:space="preserve"> </w:t>
      </w:r>
      <w:r w:rsidR="002F5C6F">
        <w:rPr>
          <w:iCs/>
        </w:rPr>
        <w:t xml:space="preserve">aurait pu laisser penser à une reproduction </w:t>
      </w:r>
      <w:r w:rsidR="00763519">
        <w:rPr>
          <w:iCs/>
        </w:rPr>
        <w:t>de ce dispositif, le traité instituant la Communauté européenne de l</w:t>
      </w:r>
      <w:r w:rsidR="00C46822">
        <w:rPr>
          <w:iCs/>
        </w:rPr>
        <w:t>’</w:t>
      </w:r>
      <w:r w:rsidR="00763519">
        <w:rPr>
          <w:iCs/>
        </w:rPr>
        <w:t xml:space="preserve">énergie atomique </w:t>
      </w:r>
      <w:r w:rsidR="00B8542B">
        <w:rPr>
          <w:iCs/>
        </w:rPr>
        <w:t xml:space="preserve">(CEEA) </w:t>
      </w:r>
      <w:r w:rsidR="00195D9C">
        <w:rPr>
          <w:iCs/>
        </w:rPr>
        <w:t>pose le principe d</w:t>
      </w:r>
      <w:r w:rsidR="00C46822">
        <w:rPr>
          <w:iCs/>
        </w:rPr>
        <w:t>’</w:t>
      </w:r>
      <w:r w:rsidR="00195D9C">
        <w:rPr>
          <w:iCs/>
        </w:rPr>
        <w:t>une intégr</w:t>
      </w:r>
      <w:r w:rsidR="00C439D7">
        <w:rPr>
          <w:iCs/>
        </w:rPr>
        <w:t>ation susceptible d</w:t>
      </w:r>
      <w:r w:rsidR="00C46822">
        <w:rPr>
          <w:iCs/>
        </w:rPr>
        <w:t>’</w:t>
      </w:r>
      <w:r w:rsidR="00C439D7">
        <w:rPr>
          <w:iCs/>
        </w:rPr>
        <w:t>être modulée</w:t>
      </w:r>
      <w:r w:rsidR="00763519">
        <w:rPr>
          <w:iCs/>
        </w:rPr>
        <w:t xml:space="preserve">. </w:t>
      </w:r>
      <w:r w:rsidR="0071533D">
        <w:rPr>
          <w:iCs/>
        </w:rPr>
        <w:t xml:space="preserve">Pour ce faire, les rédacteurs des traités </w:t>
      </w:r>
      <w:r w:rsidR="002F5C6F">
        <w:rPr>
          <w:iCs/>
        </w:rPr>
        <w:t>repren</w:t>
      </w:r>
      <w:r w:rsidR="0071533D">
        <w:rPr>
          <w:iCs/>
        </w:rPr>
        <w:t>nent</w:t>
      </w:r>
      <w:r w:rsidR="002F5C6F">
        <w:rPr>
          <w:iCs/>
        </w:rPr>
        <w:t xml:space="preserve"> le </w:t>
      </w:r>
      <w:r w:rsidR="00B37D96">
        <w:rPr>
          <w:iCs/>
        </w:rPr>
        <w:t xml:space="preserve">critère </w:t>
      </w:r>
      <w:r w:rsidR="00B00A8E">
        <w:rPr>
          <w:iCs/>
        </w:rPr>
        <w:t xml:space="preserve">géographique </w:t>
      </w:r>
      <w:r w:rsidR="00B37D96">
        <w:rPr>
          <w:iCs/>
        </w:rPr>
        <w:t xml:space="preserve">du traité </w:t>
      </w:r>
      <w:r w:rsidR="00B00A8E">
        <w:rPr>
          <w:iCs/>
        </w:rPr>
        <w:t>de Paris de « territoires européens »</w:t>
      </w:r>
      <w:r w:rsidR="0071533D">
        <w:rPr>
          <w:iCs/>
        </w:rPr>
        <w:t>,</w:t>
      </w:r>
      <w:r w:rsidR="00C439D7">
        <w:rPr>
          <w:iCs/>
        </w:rPr>
        <w:t xml:space="preserve"> pour ensuite </w:t>
      </w:r>
      <w:r w:rsidR="00B00A8E">
        <w:rPr>
          <w:iCs/>
        </w:rPr>
        <w:t>s</w:t>
      </w:r>
      <w:r w:rsidR="00C46822">
        <w:rPr>
          <w:iCs/>
        </w:rPr>
        <w:t>’</w:t>
      </w:r>
      <w:r w:rsidR="00B00A8E">
        <w:rPr>
          <w:iCs/>
        </w:rPr>
        <w:t xml:space="preserve">en affranchir en retenant que </w:t>
      </w:r>
      <w:r w:rsidR="002A6E7B">
        <w:rPr>
          <w:iCs/>
        </w:rPr>
        <w:t xml:space="preserve">sauf </w:t>
      </w:r>
      <w:r w:rsidR="00B00A8E">
        <w:rPr>
          <w:iCs/>
        </w:rPr>
        <w:t>« </w:t>
      </w:r>
      <w:r w:rsidR="002A6E7B">
        <w:rPr>
          <w:iCs/>
        </w:rPr>
        <w:t xml:space="preserve">dispositions contraires, </w:t>
      </w:r>
      <w:r w:rsidR="00B00A8E" w:rsidRPr="00B00A8E">
        <w:rPr>
          <w:iCs/>
        </w:rPr>
        <w:t>les stipulations du</w:t>
      </w:r>
      <w:r w:rsidR="00B00A8E">
        <w:rPr>
          <w:iCs/>
        </w:rPr>
        <w:t xml:space="preserve"> </w:t>
      </w:r>
      <w:r w:rsidR="00B00A8E" w:rsidRPr="00B00A8E">
        <w:rPr>
          <w:iCs/>
        </w:rPr>
        <w:t>présent Traité sont applicables aux territoires européens des États membres et aux</w:t>
      </w:r>
      <w:r w:rsidR="00B00A8E">
        <w:rPr>
          <w:iCs/>
        </w:rPr>
        <w:t xml:space="preserve"> </w:t>
      </w:r>
      <w:r w:rsidR="00B00A8E" w:rsidRPr="00B00A8E">
        <w:rPr>
          <w:iCs/>
        </w:rPr>
        <w:t>territoires non européens soumis à leur juridiction</w:t>
      </w:r>
      <w:r w:rsidR="00B00A8E">
        <w:rPr>
          <w:iCs/>
        </w:rPr>
        <w:t> »</w:t>
      </w:r>
      <w:r w:rsidR="00B00A8E">
        <w:rPr>
          <w:rStyle w:val="Marquenotebasdepage"/>
          <w:iCs/>
        </w:rPr>
        <w:footnoteReference w:id="40"/>
      </w:r>
      <w:r w:rsidR="00B00A8E">
        <w:rPr>
          <w:iCs/>
        </w:rPr>
        <w:t>.</w:t>
      </w:r>
      <w:r w:rsidR="00322401">
        <w:rPr>
          <w:iCs/>
        </w:rPr>
        <w:t xml:space="preserve"> </w:t>
      </w:r>
      <w:r w:rsidR="001C4736">
        <w:rPr>
          <w:iCs/>
        </w:rPr>
        <w:t>L</w:t>
      </w:r>
      <w:r w:rsidR="00C46822">
        <w:rPr>
          <w:iCs/>
        </w:rPr>
        <w:t>’</w:t>
      </w:r>
      <w:r w:rsidR="001C4736">
        <w:rPr>
          <w:iCs/>
        </w:rPr>
        <w:t>unification réalisée par le traité de Lisbonne supprimant la structure en pilier de l</w:t>
      </w:r>
      <w:r w:rsidR="00C46822">
        <w:rPr>
          <w:iCs/>
        </w:rPr>
        <w:t>’</w:t>
      </w:r>
      <w:r w:rsidR="001C4736">
        <w:rPr>
          <w:iCs/>
        </w:rPr>
        <w:t>Union européenne et lui attribuant la person</w:t>
      </w:r>
      <w:r w:rsidR="0014314B">
        <w:rPr>
          <w:iCs/>
        </w:rPr>
        <w:t>nalité juridique est sans effet</w:t>
      </w:r>
      <w:r w:rsidR="001C4736">
        <w:rPr>
          <w:iCs/>
        </w:rPr>
        <w:t xml:space="preserve"> sur le</w:t>
      </w:r>
      <w:r w:rsidR="00C439D7">
        <w:rPr>
          <w:iCs/>
        </w:rPr>
        <w:t xml:space="preserve"> régime fixé par le</w:t>
      </w:r>
      <w:r w:rsidR="001C4736">
        <w:rPr>
          <w:iCs/>
        </w:rPr>
        <w:t xml:space="preserve"> traité Euratom</w:t>
      </w:r>
      <w:r w:rsidR="00D7595E">
        <w:rPr>
          <w:iCs/>
        </w:rPr>
        <w:t> ;</w:t>
      </w:r>
      <w:r w:rsidR="0014314B">
        <w:rPr>
          <w:iCs/>
        </w:rPr>
        <w:t xml:space="preserve"> l</w:t>
      </w:r>
      <w:r w:rsidR="00C46822">
        <w:rPr>
          <w:iCs/>
        </w:rPr>
        <w:t>’</w:t>
      </w:r>
      <w:r w:rsidR="0014314B">
        <w:rPr>
          <w:iCs/>
        </w:rPr>
        <w:t>existence de la CEEA et</w:t>
      </w:r>
      <w:r w:rsidR="007D5BC2">
        <w:rPr>
          <w:iCs/>
        </w:rPr>
        <w:t xml:space="preserve"> de sa personnalité juridique éta</w:t>
      </w:r>
      <w:r w:rsidR="0014314B">
        <w:rPr>
          <w:iCs/>
        </w:rPr>
        <w:t>nt maintenues.</w:t>
      </w:r>
    </w:p>
    <w:p w14:paraId="39F4E759" w14:textId="77777777" w:rsidR="001751F9" w:rsidRPr="00763519" w:rsidRDefault="001751F9" w:rsidP="00B00A8E">
      <w:pPr>
        <w:spacing w:line="276" w:lineRule="auto"/>
        <w:jc w:val="both"/>
      </w:pPr>
    </w:p>
    <w:p w14:paraId="02BECCA6" w14:textId="6F3F7BE7" w:rsidR="00493F52" w:rsidRPr="00493F52" w:rsidRDefault="009E3154" w:rsidP="00493F52">
      <w:pPr>
        <w:spacing w:line="276" w:lineRule="auto"/>
        <w:jc w:val="both"/>
      </w:pPr>
      <w:r>
        <w:tab/>
        <w:t xml:space="preserve">Au même moment, le traité instituant </w:t>
      </w:r>
      <w:r w:rsidR="001751F9">
        <w:t>la Communauté économique européenne</w:t>
      </w:r>
      <w:r w:rsidR="00B8542B">
        <w:t xml:space="preserve"> (CEE)</w:t>
      </w:r>
      <w:r w:rsidR="00C439D7">
        <w:t xml:space="preserve"> </w:t>
      </w:r>
      <w:r w:rsidR="00501B56">
        <w:t>opte pour une exception</w:t>
      </w:r>
      <w:r w:rsidR="00C439D7">
        <w:t>-exclusion</w:t>
      </w:r>
      <w:r w:rsidR="00493F52">
        <w:t xml:space="preserve"> </w:t>
      </w:r>
      <w:r w:rsidR="004E2609">
        <w:t>procédant du critère géographique initial doublé d</w:t>
      </w:r>
      <w:r w:rsidR="00C46822">
        <w:t>’</w:t>
      </w:r>
      <w:r w:rsidR="00796816">
        <w:t xml:space="preserve">un critère matériel. </w:t>
      </w:r>
      <w:r w:rsidR="00075A25">
        <w:t>Ainsi</w:t>
      </w:r>
      <w:r w:rsidR="00501B56">
        <w:t xml:space="preserve">, </w:t>
      </w:r>
      <w:r w:rsidR="00B8542B">
        <w:t>l</w:t>
      </w:r>
      <w:r w:rsidR="00C46822">
        <w:t>’</w:t>
      </w:r>
      <w:r w:rsidR="00B8542B">
        <w:t>article 227, § 2</w:t>
      </w:r>
      <w:r w:rsidR="00493F52">
        <w:t xml:space="preserve"> CEE prévoit que concernant « </w:t>
      </w:r>
      <w:r w:rsidR="00493F52" w:rsidRPr="00493F52">
        <w:t>les départements français d</w:t>
      </w:r>
      <w:r w:rsidR="00C46822">
        <w:t>’</w:t>
      </w:r>
      <w:r w:rsidR="00493F52" w:rsidRPr="00493F52">
        <w:t>outre-mer, les dispositions particulières et</w:t>
      </w:r>
      <w:r w:rsidR="00493F52">
        <w:t xml:space="preserve"> </w:t>
      </w:r>
      <w:r w:rsidR="00493F52" w:rsidRPr="00493F52">
        <w:t>généra</w:t>
      </w:r>
      <w:r w:rsidR="00493F52">
        <w:t xml:space="preserve">les du présent Traité relatives : </w:t>
      </w:r>
    </w:p>
    <w:p w14:paraId="6CBDC043" w14:textId="77777777" w:rsidR="00493F52" w:rsidRPr="00493F52" w:rsidRDefault="00493F52" w:rsidP="00493F52">
      <w:pPr>
        <w:spacing w:line="276" w:lineRule="auto"/>
        <w:jc w:val="both"/>
      </w:pPr>
      <w:r w:rsidRPr="00493F52">
        <w:t>- à la libre circulation des marchandises,</w:t>
      </w:r>
    </w:p>
    <w:p w14:paraId="4685C0E1" w14:textId="6AB7D204" w:rsidR="00493F52" w:rsidRPr="00493F52" w:rsidRDefault="00493F52" w:rsidP="00493F52">
      <w:pPr>
        <w:spacing w:line="276" w:lineRule="auto"/>
        <w:jc w:val="both"/>
      </w:pPr>
      <w:r w:rsidRPr="00493F52">
        <w:lastRenderedPageBreak/>
        <w:t>- à l</w:t>
      </w:r>
      <w:r w:rsidR="00C46822">
        <w:t>’</w:t>
      </w:r>
      <w:r w:rsidRPr="00493F52">
        <w:t>agriculture, à l</w:t>
      </w:r>
      <w:r w:rsidR="00C46822">
        <w:t>’</w:t>
      </w:r>
      <w:r w:rsidRPr="00493F52">
        <w:t>exception de l</w:t>
      </w:r>
      <w:r w:rsidR="00C46822">
        <w:t>’</w:t>
      </w:r>
      <w:r w:rsidRPr="00493F52">
        <w:t>article 40, paragraphe 4,</w:t>
      </w:r>
    </w:p>
    <w:p w14:paraId="14454FEF" w14:textId="77777777" w:rsidR="00493F52" w:rsidRPr="00493F52" w:rsidRDefault="00493F52" w:rsidP="00493F52">
      <w:pPr>
        <w:spacing w:line="276" w:lineRule="auto"/>
        <w:jc w:val="both"/>
      </w:pPr>
      <w:r w:rsidRPr="00493F52">
        <w:t>- à la libération des services,</w:t>
      </w:r>
    </w:p>
    <w:p w14:paraId="42182F48" w14:textId="77777777" w:rsidR="00493F52" w:rsidRPr="00493F52" w:rsidRDefault="00493F52" w:rsidP="00493F52">
      <w:pPr>
        <w:spacing w:line="276" w:lineRule="auto"/>
        <w:jc w:val="both"/>
      </w:pPr>
      <w:r w:rsidRPr="00493F52">
        <w:t>- aux règles de concurrence,</w:t>
      </w:r>
    </w:p>
    <w:p w14:paraId="34DAC47C" w14:textId="77777777" w:rsidR="00493F52" w:rsidRPr="00493F52" w:rsidRDefault="00493F52" w:rsidP="00493F52">
      <w:pPr>
        <w:spacing w:line="276" w:lineRule="auto"/>
        <w:jc w:val="both"/>
      </w:pPr>
      <w:r w:rsidRPr="00493F52">
        <w:t>- aux mesures de sauvegarde prévues aux articles 108, 109 et 226,</w:t>
      </w:r>
    </w:p>
    <w:p w14:paraId="2796B3BC" w14:textId="77777777" w:rsidR="00E1131A" w:rsidRDefault="00493F52" w:rsidP="00493F52">
      <w:pPr>
        <w:spacing w:line="276" w:lineRule="auto"/>
        <w:jc w:val="both"/>
      </w:pPr>
      <w:r w:rsidRPr="00493F52">
        <w:t>- aux institutions,</w:t>
      </w:r>
      <w:r w:rsidR="00E1131A">
        <w:t xml:space="preserve"> </w:t>
      </w:r>
    </w:p>
    <w:p w14:paraId="5B6BF268" w14:textId="2197DC4D" w:rsidR="00493F52" w:rsidRPr="00493F52" w:rsidRDefault="00493F52" w:rsidP="00493F52">
      <w:pPr>
        <w:spacing w:line="276" w:lineRule="auto"/>
        <w:jc w:val="both"/>
      </w:pPr>
      <w:r w:rsidRPr="00493F52">
        <w:t>sont applicables dès l</w:t>
      </w:r>
      <w:r w:rsidR="00C46822">
        <w:t>’</w:t>
      </w:r>
      <w:r w:rsidRPr="00493F52">
        <w:t>entrée en vigueur du présent Traité</w:t>
      </w:r>
      <w:r>
        <w:t> »</w:t>
      </w:r>
      <w:r w:rsidRPr="00493F52">
        <w:t>.</w:t>
      </w:r>
    </w:p>
    <w:p w14:paraId="65A6F4F7" w14:textId="722EC34E" w:rsidR="00796816" w:rsidRDefault="005C7C17" w:rsidP="005C7C17">
      <w:pPr>
        <w:spacing w:line="276" w:lineRule="auto"/>
        <w:jc w:val="both"/>
      </w:pPr>
      <w:r>
        <w:t xml:space="preserve">Hors </w:t>
      </w:r>
      <w:r w:rsidR="00A827D8">
        <w:t xml:space="preserve">de </w:t>
      </w:r>
      <w:r>
        <w:t>cette énumération, cette même disposition stipule : « </w:t>
      </w:r>
      <w:r w:rsidRPr="005C7C17">
        <w:t>Les conditions d</w:t>
      </w:r>
      <w:r w:rsidR="00C46822">
        <w:t>’</w:t>
      </w:r>
      <w:r w:rsidRPr="005C7C17">
        <w:t>application des autres dispositions du présent Traité seront déterminées au plus tard deux</w:t>
      </w:r>
      <w:r>
        <w:t xml:space="preserve"> </w:t>
      </w:r>
      <w:r w:rsidRPr="005C7C17">
        <w:t>ans après son entrée en vigueur, par des décisions du Conseil statuant à l</w:t>
      </w:r>
      <w:r w:rsidR="00C46822">
        <w:t>’</w:t>
      </w:r>
      <w:r w:rsidRPr="005C7C17">
        <w:t>unanimité sur proposition de la</w:t>
      </w:r>
      <w:r>
        <w:t xml:space="preserve"> </w:t>
      </w:r>
      <w:r w:rsidRPr="005C7C17">
        <w:t>Commission</w:t>
      </w:r>
      <w:r>
        <w:t> »</w:t>
      </w:r>
      <w:r w:rsidRPr="005C7C17">
        <w:t>.</w:t>
      </w:r>
    </w:p>
    <w:p w14:paraId="04A5E8EB" w14:textId="77777777" w:rsidR="00796816" w:rsidRDefault="00796816" w:rsidP="005C7C17">
      <w:pPr>
        <w:spacing w:line="276" w:lineRule="auto"/>
        <w:jc w:val="both"/>
      </w:pPr>
    </w:p>
    <w:p w14:paraId="7AFC8E0A" w14:textId="6814C2C6" w:rsidR="005C7C17" w:rsidRDefault="00796816" w:rsidP="005C7C17">
      <w:pPr>
        <w:spacing w:line="276" w:lineRule="auto"/>
        <w:jc w:val="both"/>
      </w:pPr>
      <w:r>
        <w:tab/>
        <w:t>Le choix a été fait d</w:t>
      </w:r>
      <w:r w:rsidR="00C46822">
        <w:t>’</w:t>
      </w:r>
      <w:r>
        <w:t xml:space="preserve">une </w:t>
      </w:r>
      <w:r w:rsidR="00DC2F8F">
        <w:t>application</w:t>
      </w:r>
      <w:r>
        <w:t xml:space="preserve"> sélective et ciblée sous réserve de l</w:t>
      </w:r>
      <w:r w:rsidR="00C46822">
        <w:t>’</w:t>
      </w:r>
      <w:r>
        <w:t xml:space="preserve">énonciation de matières devant relever de la règle commune. </w:t>
      </w:r>
      <w:r w:rsidR="005C7C17">
        <w:t xml:space="preserve">Sur ce fondement, </w:t>
      </w:r>
      <w:r w:rsidR="0003414C">
        <w:t>le Conseil a décidé d</w:t>
      </w:r>
      <w:r w:rsidR="00C46822">
        <w:t>’</w:t>
      </w:r>
      <w:r w:rsidR="0003414C">
        <w:t>étendre l</w:t>
      </w:r>
      <w:r w:rsidR="00C46822">
        <w:t>’</w:t>
      </w:r>
      <w:r w:rsidR="0003414C">
        <w:t>application du traité à la libre circulation des capitaux</w:t>
      </w:r>
      <w:r w:rsidR="003B200D">
        <w:t xml:space="preserve"> (art. 67 à 73 CEE</w:t>
      </w:r>
      <w:r w:rsidR="0003414C">
        <w:rPr>
          <w:rStyle w:val="Marquenotebasdepage"/>
        </w:rPr>
        <w:footnoteReference w:id="41"/>
      </w:r>
      <w:r w:rsidR="00EA5FED">
        <w:t>)</w:t>
      </w:r>
      <w:r w:rsidR="003931E8">
        <w:t>. Sans se considérer lié par l</w:t>
      </w:r>
      <w:r w:rsidR="00C46822">
        <w:t>’</w:t>
      </w:r>
      <w:r w:rsidR="00A2282F">
        <w:t>écoulement du</w:t>
      </w:r>
      <w:r w:rsidR="00B275C4">
        <w:t xml:space="preserve"> délai</w:t>
      </w:r>
      <w:r w:rsidR="00A2282F">
        <w:t xml:space="preserve"> de deux ans</w:t>
      </w:r>
      <w:r w:rsidR="00B275C4">
        <w:t xml:space="preserve">, le Conseil </w:t>
      </w:r>
      <w:r w:rsidR="00D7595E">
        <w:t>a opéré</w:t>
      </w:r>
      <w:r w:rsidR="00A2282F">
        <w:t xml:space="preserve"> une sélection</w:t>
      </w:r>
      <w:r w:rsidR="003B200D">
        <w:t xml:space="preserve"> </w:t>
      </w:r>
      <w:r w:rsidR="006814FE">
        <w:t xml:space="preserve">au profit du </w:t>
      </w:r>
      <w:r w:rsidR="008B35AB">
        <w:t>droit d</w:t>
      </w:r>
      <w:r w:rsidR="00C46822">
        <w:t>’</w:t>
      </w:r>
      <w:r w:rsidR="008B35AB">
        <w:t xml:space="preserve">établissement </w:t>
      </w:r>
      <w:r w:rsidR="00EA5FED">
        <w:t xml:space="preserve">et </w:t>
      </w:r>
      <w:r w:rsidR="006814FE">
        <w:t>des</w:t>
      </w:r>
      <w:r w:rsidR="00EA5FED">
        <w:t xml:space="preserve"> paiements (art. 52 à 58 CEE et </w:t>
      </w:r>
      <w:r w:rsidR="008B35AB">
        <w:t>art. 108 CEE</w:t>
      </w:r>
      <w:r w:rsidR="00F85A96">
        <w:rPr>
          <w:rStyle w:val="Marquenotebasdepage"/>
        </w:rPr>
        <w:footnoteReference w:id="42"/>
      </w:r>
      <w:r w:rsidR="00EA5FED">
        <w:t>)</w:t>
      </w:r>
      <w:r w:rsidR="00B713E2">
        <w:t xml:space="preserve">, </w:t>
      </w:r>
      <w:r w:rsidR="006814FE">
        <w:t>de</w:t>
      </w:r>
      <w:r w:rsidR="00BC43C2">
        <w:t xml:space="preserve"> la libre circulation des travailleurs</w:t>
      </w:r>
      <w:r w:rsidR="00EA5FED">
        <w:t xml:space="preserve"> (art. 49, 50</w:t>
      </w:r>
      <w:r w:rsidR="00BC43C2">
        <w:rPr>
          <w:rStyle w:val="Marquenotebasdepage"/>
        </w:rPr>
        <w:footnoteReference w:id="43"/>
      </w:r>
      <w:r w:rsidR="00EA5FED">
        <w:t xml:space="preserve"> et 51</w:t>
      </w:r>
      <w:r w:rsidR="00EA5FED">
        <w:rPr>
          <w:rStyle w:val="Marquenotebasdepage"/>
        </w:rPr>
        <w:footnoteReference w:id="44"/>
      </w:r>
      <w:r w:rsidR="00EA5FED">
        <w:t>)</w:t>
      </w:r>
      <w:r w:rsidR="006814FE">
        <w:t xml:space="preserve"> et d</w:t>
      </w:r>
      <w:r w:rsidR="00A31B46">
        <w:t>u Fonds social européen (art. 123 à 127 CEE</w:t>
      </w:r>
      <w:r w:rsidR="00A31B46">
        <w:rPr>
          <w:rStyle w:val="Marquenotebasdepage"/>
        </w:rPr>
        <w:footnoteReference w:id="45"/>
      </w:r>
      <w:r w:rsidR="00A31B46">
        <w:t>)</w:t>
      </w:r>
      <w:r w:rsidR="005C0DBC">
        <w:t>.</w:t>
      </w:r>
      <w:r w:rsidR="0081271C">
        <w:t xml:space="preserve"> A côté de cette application sélective du traité</w:t>
      </w:r>
      <w:r w:rsidR="006814FE">
        <w:t xml:space="preserve"> (le </w:t>
      </w:r>
      <w:r w:rsidR="0081271C">
        <w:t>droit primaire</w:t>
      </w:r>
      <w:r w:rsidR="006814FE">
        <w:t>)</w:t>
      </w:r>
      <w:r w:rsidR="0081271C">
        <w:t>, à ces territoires d</w:t>
      </w:r>
      <w:r w:rsidR="00C46822">
        <w:t>’</w:t>
      </w:r>
      <w:r w:rsidR="0081271C">
        <w:t xml:space="preserve">outre-mer, le droit dérivé </w:t>
      </w:r>
      <w:r w:rsidR="00D7595E">
        <w:t xml:space="preserve">a </w:t>
      </w:r>
      <w:r w:rsidR="0081271C">
        <w:t xml:space="preserve">aussi </w:t>
      </w:r>
      <w:r w:rsidR="00D7595E">
        <w:t xml:space="preserve">fait </w:t>
      </w:r>
      <w:r w:rsidR="0081271C">
        <w:t>l</w:t>
      </w:r>
      <w:r w:rsidR="00C46822">
        <w:t>’</w:t>
      </w:r>
      <w:r w:rsidR="0081271C">
        <w:t>objet d</w:t>
      </w:r>
      <w:r w:rsidR="00C46822">
        <w:t>’</w:t>
      </w:r>
      <w:r w:rsidR="0081271C">
        <w:t>une casuistique, l</w:t>
      </w:r>
      <w:r w:rsidR="00C46822">
        <w:t>’</w:t>
      </w:r>
      <w:r w:rsidR="0081271C">
        <w:t>adoption d</w:t>
      </w:r>
      <w:r w:rsidR="00C46822">
        <w:t>’</w:t>
      </w:r>
      <w:r w:rsidR="0081271C">
        <w:t>un règlement</w:t>
      </w:r>
      <w:r w:rsidR="0017637F">
        <w:t xml:space="preserve"> peut être suivi</w:t>
      </w:r>
      <w:r w:rsidR="00D7595E">
        <w:t>e</w:t>
      </w:r>
      <w:r w:rsidR="0081271C">
        <w:t xml:space="preserve"> d</w:t>
      </w:r>
      <w:r w:rsidR="00C46822">
        <w:t>’</w:t>
      </w:r>
      <w:r w:rsidR="0081271C">
        <w:t>un autre texte de même nature</w:t>
      </w:r>
      <w:r w:rsidR="002C4612">
        <w:rPr>
          <w:rStyle w:val="Marquenotebasdepage"/>
        </w:rPr>
        <w:footnoteReference w:id="46"/>
      </w:r>
      <w:r w:rsidR="002C4612">
        <w:t xml:space="preserve"> ou non</w:t>
      </w:r>
      <w:r w:rsidR="002C4612">
        <w:rPr>
          <w:rStyle w:val="Marquenotebasdepage"/>
        </w:rPr>
        <w:footnoteReference w:id="47"/>
      </w:r>
      <w:r w:rsidR="002C4612">
        <w:t>,</w:t>
      </w:r>
      <w:r w:rsidR="0017637F">
        <w:t xml:space="preserve"> </w:t>
      </w:r>
      <w:r w:rsidR="0081271C">
        <w:t xml:space="preserve">étendant son </w:t>
      </w:r>
      <w:r w:rsidR="0017637F">
        <w:t xml:space="preserve">champ </w:t>
      </w:r>
      <w:r w:rsidR="007D5BC2">
        <w:t>d</w:t>
      </w:r>
      <w:r w:rsidR="00C46822">
        <w:t>’</w:t>
      </w:r>
      <w:r w:rsidR="007D5BC2">
        <w:t xml:space="preserve">application </w:t>
      </w:r>
      <w:r w:rsidR="0017637F">
        <w:t>aux départements français.</w:t>
      </w:r>
    </w:p>
    <w:p w14:paraId="2675BD48" w14:textId="77777777" w:rsidR="0017637F" w:rsidRDefault="0017637F" w:rsidP="005C7C17">
      <w:pPr>
        <w:spacing w:line="276" w:lineRule="auto"/>
        <w:jc w:val="both"/>
      </w:pPr>
    </w:p>
    <w:p w14:paraId="275271CC" w14:textId="5E772448" w:rsidR="00BC4F02" w:rsidRDefault="0017637F" w:rsidP="005C7C17">
      <w:pPr>
        <w:spacing w:line="276" w:lineRule="auto"/>
        <w:jc w:val="both"/>
        <w:rPr>
          <w:iCs/>
        </w:rPr>
      </w:pPr>
      <w:r>
        <w:tab/>
      </w:r>
      <w:r w:rsidR="006814FE">
        <w:t>Face à ce régime disparate</w:t>
      </w:r>
      <w:r w:rsidR="00427B87">
        <w:t>, quoique resserré</w:t>
      </w:r>
      <w:r w:rsidR="006814FE">
        <w:t xml:space="preserve"> par la dualité, la Cour de justice s</w:t>
      </w:r>
      <w:r w:rsidR="00C46822">
        <w:t>’</w:t>
      </w:r>
      <w:r w:rsidR="00427B87">
        <w:t>appuie sur un raisonnement inspiré du</w:t>
      </w:r>
      <w:r>
        <w:t xml:space="preserve"> droit constituti</w:t>
      </w:r>
      <w:r w:rsidR="006814FE">
        <w:t>onnel interne</w:t>
      </w:r>
      <w:r w:rsidR="00D70E1A">
        <w:rPr>
          <w:rStyle w:val="Marquenotebasdepage"/>
        </w:rPr>
        <w:footnoteReference w:id="48"/>
      </w:r>
      <w:r w:rsidR="00D70E1A">
        <w:t xml:space="preserve">, </w:t>
      </w:r>
      <w:r w:rsidR="006814FE">
        <w:t>pour -</w:t>
      </w:r>
      <w:r>
        <w:t xml:space="preserve"> dans son arrêt Hansen</w:t>
      </w:r>
      <w:r w:rsidR="006814FE" w:rsidRPr="00D70E1A">
        <w:rPr>
          <w:vertAlign w:val="superscript"/>
        </w:rPr>
        <w:footnoteReference w:id="49"/>
      </w:r>
      <w:r w:rsidR="006814FE">
        <w:t xml:space="preserve"> </w:t>
      </w:r>
      <w:r w:rsidR="0096118C">
        <w:t>à la célébrité posthume</w:t>
      </w:r>
      <w:r w:rsidR="0077637C">
        <w:rPr>
          <w:rStyle w:val="Marquenotebasdepage"/>
        </w:rPr>
        <w:footnoteReference w:id="50"/>
      </w:r>
      <w:r w:rsidR="0096118C">
        <w:t xml:space="preserve"> - </w:t>
      </w:r>
      <w:r w:rsidR="0070264C">
        <w:t>prend</w:t>
      </w:r>
      <w:r w:rsidR="006814FE">
        <w:t>re</w:t>
      </w:r>
      <w:r w:rsidR="0070264C">
        <w:t xml:space="preserve"> acte du fait que « les DOM faisant partie intégrante de la République </w:t>
      </w:r>
      <w:r w:rsidR="006814FE">
        <w:t>(…)</w:t>
      </w:r>
      <w:r w:rsidR="0070264C">
        <w:t> </w:t>
      </w:r>
      <w:r w:rsidR="0070264C" w:rsidRPr="0070264C">
        <w:rPr>
          <w:iCs/>
        </w:rPr>
        <w:t>les dispositions du traité et du droit dérivé doivent donc s</w:t>
      </w:r>
      <w:r w:rsidR="00C46822">
        <w:rPr>
          <w:iCs/>
        </w:rPr>
        <w:t>’</w:t>
      </w:r>
      <w:r w:rsidR="0070264C" w:rsidRPr="0070264C">
        <w:rPr>
          <w:iCs/>
        </w:rPr>
        <w:t>appliquer de plein droit</w:t>
      </w:r>
      <w:r w:rsidR="0070264C">
        <w:rPr>
          <w:iCs/>
        </w:rPr>
        <w:t> » à l</w:t>
      </w:r>
      <w:r w:rsidR="00C46822">
        <w:rPr>
          <w:iCs/>
        </w:rPr>
        <w:t>’</w:t>
      </w:r>
      <w:r w:rsidR="0070264C">
        <w:rPr>
          <w:iCs/>
        </w:rPr>
        <w:t>issue du délai de deux ans prévus par l</w:t>
      </w:r>
      <w:r w:rsidR="00C46822">
        <w:rPr>
          <w:iCs/>
        </w:rPr>
        <w:t>’</w:t>
      </w:r>
      <w:r w:rsidR="0070264C">
        <w:rPr>
          <w:iCs/>
        </w:rPr>
        <w:t>article 227</w:t>
      </w:r>
      <w:r w:rsidR="006814FE">
        <w:rPr>
          <w:iCs/>
        </w:rPr>
        <w:t>, § 2 CEE. U</w:t>
      </w:r>
      <w:r w:rsidR="00810D5D">
        <w:rPr>
          <w:iCs/>
        </w:rPr>
        <w:t>ne fois expiré, « </w:t>
      </w:r>
      <w:r w:rsidR="00810D5D" w:rsidRPr="00810D5D">
        <w:rPr>
          <w:iCs/>
        </w:rPr>
        <w:t>il reste toujours possible de prévoir ultérieurement des mesures spécifiques en vue de répondre aux besoins de ces territoires »</w:t>
      </w:r>
      <w:r w:rsidR="00810D5D">
        <w:rPr>
          <w:iCs/>
        </w:rPr>
        <w:t xml:space="preserve">. </w:t>
      </w:r>
      <w:r w:rsidR="00D511EA">
        <w:rPr>
          <w:iCs/>
        </w:rPr>
        <w:t>C</w:t>
      </w:r>
      <w:r w:rsidR="00801655">
        <w:rPr>
          <w:iCs/>
        </w:rPr>
        <w:t xml:space="preserve">ette opportunité est rapidement saisie </w:t>
      </w:r>
      <w:r w:rsidR="00C15CB8">
        <w:rPr>
          <w:iCs/>
        </w:rPr>
        <w:t>par le Conseil, autorisant la France par deux directives du même jour à exclure l</w:t>
      </w:r>
      <w:r w:rsidR="00C46822">
        <w:rPr>
          <w:iCs/>
        </w:rPr>
        <w:t>’</w:t>
      </w:r>
      <w:r w:rsidR="00C15CB8">
        <w:rPr>
          <w:iCs/>
        </w:rPr>
        <w:t xml:space="preserve">application de </w:t>
      </w:r>
      <w:r w:rsidR="002255F1">
        <w:rPr>
          <w:iCs/>
        </w:rPr>
        <w:t>plusieurs directives d</w:t>
      </w:r>
      <w:r w:rsidR="00C46822">
        <w:rPr>
          <w:iCs/>
        </w:rPr>
        <w:t>’</w:t>
      </w:r>
      <w:r w:rsidR="00C15CB8">
        <w:rPr>
          <w:iCs/>
        </w:rPr>
        <w:t>harmonisation fiscale</w:t>
      </w:r>
      <w:r w:rsidR="00C15CB8">
        <w:rPr>
          <w:rStyle w:val="Marquenotebasdepage"/>
          <w:iCs/>
        </w:rPr>
        <w:footnoteReference w:id="51"/>
      </w:r>
      <w:r w:rsidR="0096118C">
        <w:rPr>
          <w:iCs/>
        </w:rPr>
        <w:t>.</w:t>
      </w:r>
      <w:r w:rsidR="00D511EA">
        <w:rPr>
          <w:iCs/>
        </w:rPr>
        <w:t xml:space="preserve"> </w:t>
      </w:r>
      <w:r w:rsidR="007D5BC2">
        <w:rPr>
          <w:iCs/>
        </w:rPr>
        <w:t>En réalisant une</w:t>
      </w:r>
      <w:r w:rsidR="00D511EA" w:rsidRPr="00D511EA">
        <w:rPr>
          <w:iCs/>
        </w:rPr>
        <w:t xml:space="preserve"> </w:t>
      </w:r>
      <w:r w:rsidR="00D511EA" w:rsidRPr="00D511EA">
        <w:rPr>
          <w:iCs/>
        </w:rPr>
        <w:lastRenderedPageBreak/>
        <w:t>interprétation libérale et non littérale du traité</w:t>
      </w:r>
      <w:r w:rsidR="00D511EA" w:rsidRPr="00D511EA">
        <w:rPr>
          <w:iCs/>
          <w:vertAlign w:val="superscript"/>
        </w:rPr>
        <w:footnoteReference w:id="52"/>
      </w:r>
      <w:r w:rsidR="00275E18">
        <w:rPr>
          <w:iCs/>
        </w:rPr>
        <w:t>, « la Cour de justice a procédé à un renversement de présomption, et a rendu le droit communautaire applicable de plein droit, sauf si le Conseil statuant à l</w:t>
      </w:r>
      <w:r w:rsidR="00C46822">
        <w:rPr>
          <w:iCs/>
        </w:rPr>
        <w:t>’</w:t>
      </w:r>
      <w:r w:rsidR="00275E18">
        <w:rPr>
          <w:iCs/>
        </w:rPr>
        <w:t>unanimité en décide explicitement autrement »</w:t>
      </w:r>
      <w:r w:rsidR="00275E18">
        <w:rPr>
          <w:rStyle w:val="Marquenotebasdepage"/>
          <w:iCs/>
        </w:rPr>
        <w:footnoteReference w:id="53"/>
      </w:r>
      <w:r w:rsidR="00275E18">
        <w:rPr>
          <w:iCs/>
        </w:rPr>
        <w:t>.</w:t>
      </w:r>
      <w:r w:rsidR="00BB6CEF">
        <w:rPr>
          <w:iCs/>
        </w:rPr>
        <w:t xml:space="preserve"> La Cour de justice a confirmé sa position à la faveur de l</w:t>
      </w:r>
      <w:r w:rsidR="00C46822">
        <w:rPr>
          <w:iCs/>
        </w:rPr>
        <w:t>’</w:t>
      </w:r>
      <w:r w:rsidR="00BB6CEF">
        <w:rPr>
          <w:iCs/>
        </w:rPr>
        <w:t>arrêt Legros</w:t>
      </w:r>
      <w:r w:rsidR="00BB6CEF">
        <w:rPr>
          <w:rStyle w:val="Marquenotebasdepage"/>
          <w:iCs/>
        </w:rPr>
        <w:footnoteReference w:id="54"/>
      </w:r>
      <w:r w:rsidR="00BB6CEF">
        <w:rPr>
          <w:iCs/>
        </w:rPr>
        <w:t xml:space="preserve"> </w:t>
      </w:r>
      <w:r w:rsidR="00870B23">
        <w:rPr>
          <w:iCs/>
        </w:rPr>
        <w:t>et indiqué sa</w:t>
      </w:r>
      <w:r w:rsidR="007E2759">
        <w:rPr>
          <w:iCs/>
        </w:rPr>
        <w:t>ns</w:t>
      </w:r>
      <w:r w:rsidR="00870B23">
        <w:rPr>
          <w:iCs/>
        </w:rPr>
        <w:t xml:space="preserve"> surprise le caractère limitatif de l</w:t>
      </w:r>
      <w:r w:rsidR="00C46822">
        <w:rPr>
          <w:iCs/>
        </w:rPr>
        <w:t>’</w:t>
      </w:r>
      <w:r w:rsidR="00870B23">
        <w:rPr>
          <w:iCs/>
        </w:rPr>
        <w:t>énumération</w:t>
      </w:r>
      <w:r w:rsidR="002255F1">
        <w:rPr>
          <w:iCs/>
        </w:rPr>
        <w:t xml:space="preserve"> exposée à l</w:t>
      </w:r>
      <w:r w:rsidR="00C46822">
        <w:rPr>
          <w:iCs/>
        </w:rPr>
        <w:t>’</w:t>
      </w:r>
      <w:r w:rsidR="002255F1">
        <w:rPr>
          <w:iCs/>
        </w:rPr>
        <w:t>article 227 § 2</w:t>
      </w:r>
      <w:r w:rsidR="00D7595E">
        <w:rPr>
          <w:iCs/>
        </w:rPr>
        <w:t xml:space="preserve"> CEE</w:t>
      </w:r>
      <w:r w:rsidR="00870B23">
        <w:rPr>
          <w:rStyle w:val="Marquenotebasdepage"/>
          <w:iCs/>
        </w:rPr>
        <w:footnoteReference w:id="55"/>
      </w:r>
      <w:r w:rsidR="00870B23">
        <w:rPr>
          <w:iCs/>
        </w:rPr>
        <w:t>.</w:t>
      </w:r>
    </w:p>
    <w:p w14:paraId="76ADA335" w14:textId="77777777" w:rsidR="00BC4F02" w:rsidRDefault="00BC4F02" w:rsidP="005C7C17">
      <w:pPr>
        <w:spacing w:line="276" w:lineRule="auto"/>
        <w:jc w:val="both"/>
        <w:rPr>
          <w:iCs/>
        </w:rPr>
      </w:pPr>
    </w:p>
    <w:p w14:paraId="0FECE6DC" w14:textId="0D01DEBF" w:rsidR="005541D6" w:rsidRDefault="00C631C0" w:rsidP="00BC4F02">
      <w:pPr>
        <w:spacing w:line="276" w:lineRule="auto"/>
        <w:ind w:firstLine="708"/>
        <w:jc w:val="both"/>
      </w:pPr>
      <w:r>
        <w:rPr>
          <w:iCs/>
        </w:rPr>
        <w:t>Ainsi,</w:t>
      </w:r>
      <w:r w:rsidR="00BC4F02">
        <w:rPr>
          <w:iCs/>
        </w:rPr>
        <w:t xml:space="preserve"> D. Perrot </w:t>
      </w:r>
      <w:r>
        <w:rPr>
          <w:iCs/>
        </w:rPr>
        <w:t>souligne :</w:t>
      </w:r>
      <w:r w:rsidR="00BC4F02" w:rsidRPr="00BC4F02">
        <w:rPr>
          <w:iCs/>
        </w:rPr>
        <w:t> </w:t>
      </w:r>
      <w:r w:rsidR="00BC4F02">
        <w:rPr>
          <w:bCs/>
          <w:iCs/>
        </w:rPr>
        <w:t>«</w:t>
      </w:r>
      <w:r w:rsidR="00BC4F02" w:rsidRPr="00BC4F02">
        <w:rPr>
          <w:bCs/>
          <w:iCs/>
        </w:rPr>
        <w:t xml:space="preserve"> bien au-delà de 1960, la sélectivité combinée à l</w:t>
      </w:r>
      <w:r w:rsidR="00C46822">
        <w:rPr>
          <w:bCs/>
          <w:iCs/>
        </w:rPr>
        <w:t>’</w:t>
      </w:r>
      <w:r w:rsidR="00BC4F02" w:rsidRPr="00BC4F02">
        <w:rPr>
          <w:bCs/>
          <w:iCs/>
        </w:rPr>
        <w:t>hybridité perdure, quoiqu</w:t>
      </w:r>
      <w:r w:rsidR="00C46822">
        <w:rPr>
          <w:bCs/>
          <w:iCs/>
        </w:rPr>
        <w:t>’</w:t>
      </w:r>
      <w:r w:rsidR="00BC4F02" w:rsidRPr="00BC4F02">
        <w:rPr>
          <w:bCs/>
          <w:iCs/>
        </w:rPr>
        <w:t>elle s</w:t>
      </w:r>
      <w:r w:rsidR="00C46822">
        <w:rPr>
          <w:bCs/>
          <w:iCs/>
        </w:rPr>
        <w:t>’</w:t>
      </w:r>
      <w:r w:rsidR="00BC4F02" w:rsidRPr="00BC4F02">
        <w:rPr>
          <w:bCs/>
          <w:iCs/>
        </w:rPr>
        <w:t>amenuise ; elle continue de tenir lieu de différenciation juridique. Ce schéma devient de moins en moins tenable à mesure que le droit commun s</w:t>
      </w:r>
      <w:r w:rsidR="00C46822">
        <w:rPr>
          <w:bCs/>
          <w:iCs/>
        </w:rPr>
        <w:t>’</w:t>
      </w:r>
      <w:r w:rsidR="00BC4F02" w:rsidRPr="00BC4F02">
        <w:rPr>
          <w:bCs/>
          <w:iCs/>
        </w:rPr>
        <w:t>étend, au point qu</w:t>
      </w:r>
      <w:r w:rsidR="00C46822">
        <w:rPr>
          <w:bCs/>
          <w:iCs/>
        </w:rPr>
        <w:t>’</w:t>
      </w:r>
      <w:r w:rsidR="00BC4F02" w:rsidRPr="00BC4F02">
        <w:rPr>
          <w:bCs/>
          <w:iCs/>
        </w:rPr>
        <w:t>il peut s</w:t>
      </w:r>
      <w:r w:rsidR="00C46822">
        <w:rPr>
          <w:bCs/>
          <w:iCs/>
        </w:rPr>
        <w:t>’</w:t>
      </w:r>
      <w:r w:rsidR="00BC4F02" w:rsidRPr="00BC4F02">
        <w:rPr>
          <w:bCs/>
          <w:iCs/>
        </w:rPr>
        <w:t>avérer opportun de prévoir l</w:t>
      </w:r>
      <w:r w:rsidR="00C46822">
        <w:rPr>
          <w:bCs/>
          <w:iCs/>
        </w:rPr>
        <w:t>’</w:t>
      </w:r>
      <w:r w:rsidR="00BC4F02" w:rsidRPr="00BC4F02">
        <w:rPr>
          <w:bCs/>
          <w:iCs/>
        </w:rPr>
        <w:t>inverse, à savoir que tout le droit commun serait applicable pour les DFOM, à moins de dispositions contraires »</w:t>
      </w:r>
      <w:r w:rsidR="00BC4F02">
        <w:rPr>
          <w:rStyle w:val="Marquenotebasdepage"/>
          <w:bCs/>
          <w:iCs/>
        </w:rPr>
        <w:footnoteReference w:id="56"/>
      </w:r>
      <w:r w:rsidR="00BC4F02" w:rsidRPr="00BC4F02">
        <w:rPr>
          <w:bCs/>
          <w:iCs/>
        </w:rPr>
        <w:t>.</w:t>
      </w:r>
      <w:r w:rsidR="00BC4F02">
        <w:t xml:space="preserve"> </w:t>
      </w:r>
      <w:r w:rsidR="000B50D4">
        <w:t>A</w:t>
      </w:r>
      <w:r w:rsidR="00361AA3">
        <w:t xml:space="preserve">u début des années 1980 </w:t>
      </w:r>
      <w:r w:rsidR="007E2759">
        <w:t>la situation des territoires d</w:t>
      </w:r>
      <w:r w:rsidR="00C46822">
        <w:t>’</w:t>
      </w:r>
      <w:r w:rsidR="007E2759">
        <w:t>outre-mer est caractérisée par</w:t>
      </w:r>
      <w:r w:rsidR="00361AA3">
        <w:t xml:space="preserve"> un régime</w:t>
      </w:r>
      <w:r w:rsidR="007E2759">
        <w:t xml:space="preserve"> de droit commun tempéré par une exception-exclusion</w:t>
      </w:r>
      <w:r w:rsidR="00361AA3">
        <w:t>.</w:t>
      </w:r>
      <w:r w:rsidR="00CA3985">
        <w:t xml:space="preserve"> Or, précisément l</w:t>
      </w:r>
      <w:r w:rsidR="00C46822">
        <w:t>’</w:t>
      </w:r>
      <w:r w:rsidR="00CA3985">
        <w:t>affirmation jurisprudentielle du principe d</w:t>
      </w:r>
      <w:r w:rsidR="00C46822">
        <w:t>’</w:t>
      </w:r>
      <w:r w:rsidR="00CA3985">
        <w:t xml:space="preserve">une indistinction conduit progressivement </w:t>
      </w:r>
      <w:r w:rsidR="00E1131A">
        <w:t xml:space="preserve">à </w:t>
      </w:r>
      <w:r w:rsidR="0001620F">
        <w:t xml:space="preserve">une </w:t>
      </w:r>
      <w:r w:rsidR="007E2759">
        <w:t>exception-</w:t>
      </w:r>
      <w:r w:rsidR="0001620F">
        <w:t>adaptation</w:t>
      </w:r>
      <w:r w:rsidR="00E1131A">
        <w:t xml:space="preserve">, présentant une alternative au dilemme entre application et </w:t>
      </w:r>
      <w:r w:rsidR="007D5BC2">
        <w:t>non-</w:t>
      </w:r>
      <w:r w:rsidR="00E1131A">
        <w:t>application, entre intégration et exclusion</w:t>
      </w:r>
      <w:r w:rsidR="00226513">
        <w:t> : l</w:t>
      </w:r>
      <w:r w:rsidR="00BC4F02">
        <w:t xml:space="preserve">a différenciation. </w:t>
      </w:r>
    </w:p>
    <w:p w14:paraId="537D774D" w14:textId="77777777" w:rsidR="00200F12" w:rsidRDefault="00200F12" w:rsidP="00493F52">
      <w:pPr>
        <w:spacing w:line="276" w:lineRule="auto"/>
        <w:jc w:val="both"/>
      </w:pPr>
    </w:p>
    <w:p w14:paraId="33640EAC" w14:textId="73E91A53" w:rsidR="00361AA3" w:rsidRDefault="0001620F" w:rsidP="00493F52">
      <w:pPr>
        <w:spacing w:line="276" w:lineRule="auto"/>
        <w:jc w:val="both"/>
      </w:pPr>
      <w:r>
        <w:t xml:space="preserve">B) </w:t>
      </w:r>
      <w:r w:rsidR="007E2759">
        <w:t xml:space="preserve">La </w:t>
      </w:r>
      <w:r w:rsidR="00A827D8">
        <w:t>construction de l</w:t>
      </w:r>
      <w:r w:rsidR="00C46822">
        <w:t>’</w:t>
      </w:r>
      <w:r w:rsidR="00A827D8">
        <w:t xml:space="preserve">exception </w:t>
      </w:r>
      <w:r w:rsidR="00704A55">
        <w:t>par a</w:t>
      </w:r>
      <w:r w:rsidR="007E2759">
        <w:t>d</w:t>
      </w:r>
      <w:r w:rsidR="00704A55">
        <w:t>d</w:t>
      </w:r>
      <w:r w:rsidR="007E2759">
        <w:t>ition</w:t>
      </w:r>
      <w:r w:rsidR="007D5BC2">
        <w:t>,</w:t>
      </w:r>
      <w:r w:rsidR="007E2759">
        <w:t xml:space="preserve"> </w:t>
      </w:r>
      <w:r w:rsidR="00685C06">
        <w:t>naissance d</w:t>
      </w:r>
      <w:r w:rsidR="00C46822">
        <w:t>’</w:t>
      </w:r>
      <w:r w:rsidR="007D5BC2">
        <w:t xml:space="preserve">une notion : </w:t>
      </w:r>
      <w:r w:rsidR="00685C06">
        <w:t>l</w:t>
      </w:r>
      <w:r w:rsidR="00C46822">
        <w:t>’</w:t>
      </w:r>
      <w:proofErr w:type="spellStart"/>
      <w:r w:rsidR="007D5BC2">
        <w:t>ultrapériphérie</w:t>
      </w:r>
      <w:proofErr w:type="spellEnd"/>
    </w:p>
    <w:p w14:paraId="2093A026" w14:textId="77777777" w:rsidR="00361AA3" w:rsidRDefault="00361AA3" w:rsidP="00493F52">
      <w:pPr>
        <w:spacing w:line="276" w:lineRule="auto"/>
        <w:jc w:val="both"/>
      </w:pPr>
    </w:p>
    <w:p w14:paraId="5837B953" w14:textId="6A4AF7D7" w:rsidR="00A827D8" w:rsidRPr="008D108E" w:rsidRDefault="00497A80" w:rsidP="00A827D8">
      <w:pPr>
        <w:spacing w:line="276" w:lineRule="auto"/>
        <w:jc w:val="both"/>
        <w:rPr>
          <w:bCs/>
        </w:rPr>
      </w:pPr>
      <w:r>
        <w:tab/>
        <w:t>Echapper au droit applicable ne suffit pas</w:t>
      </w:r>
      <w:r w:rsidR="00EE2D72">
        <w:t xml:space="preserve"> aux territoires d</w:t>
      </w:r>
      <w:r w:rsidR="00C46822">
        <w:t>’</w:t>
      </w:r>
      <w:r w:rsidR="00EE2D72">
        <w:t>outre-mer européens</w:t>
      </w:r>
      <w:r>
        <w:t>, cette différenciation</w:t>
      </w:r>
      <w:r w:rsidR="00EE2D72">
        <w:t>, qui</w:t>
      </w:r>
      <w:r>
        <w:t xml:space="preserve"> peut être qualifiée de négative en ce sens qu</w:t>
      </w:r>
      <w:r w:rsidR="00C46822">
        <w:t>’</w:t>
      </w:r>
      <w:r>
        <w:t>elle procède d</w:t>
      </w:r>
      <w:r w:rsidR="00C46822">
        <w:t>’</w:t>
      </w:r>
      <w:r>
        <w:t xml:space="preserve">une </w:t>
      </w:r>
      <w:r w:rsidRPr="00497A80">
        <w:t>exc</w:t>
      </w:r>
      <w:r w:rsidR="00EE2D72">
        <w:t>eption-exc</w:t>
      </w:r>
      <w:r w:rsidRPr="00497A80">
        <w:t>lusion</w:t>
      </w:r>
      <w:r>
        <w:t xml:space="preserve">, </w:t>
      </w:r>
      <w:r w:rsidR="00C631C0">
        <w:t xml:space="preserve">résulte </w:t>
      </w:r>
      <w:r w:rsidR="00EE2D72">
        <w:t>du dilemme entre le tout ou rien</w:t>
      </w:r>
      <w:r>
        <w:t>. A l</w:t>
      </w:r>
      <w:r w:rsidR="00C46822">
        <w:t>’</w:t>
      </w:r>
      <w:r>
        <w:t>inverse</w:t>
      </w:r>
      <w:r w:rsidR="002474D8" w:rsidRPr="002474D8">
        <w:t xml:space="preserve"> </w:t>
      </w:r>
      <w:r w:rsidR="002474D8">
        <w:t xml:space="preserve">il </w:t>
      </w:r>
      <w:r w:rsidR="00A827D8">
        <w:t xml:space="preserve">est </w:t>
      </w:r>
      <w:r w:rsidR="002474D8">
        <w:t>permis d</w:t>
      </w:r>
      <w:r w:rsidR="00C46822">
        <w:t>’</w:t>
      </w:r>
      <w:r w:rsidR="002474D8">
        <w:t>y opposer une différenciation positive</w:t>
      </w:r>
      <w:r>
        <w:t xml:space="preserve">, par </w:t>
      </w:r>
      <w:r w:rsidR="002474D8">
        <w:t>adaptatio</w:t>
      </w:r>
      <w:r w:rsidR="00EE2D72">
        <w:t>n ou addition</w:t>
      </w:r>
      <w:r w:rsidR="002474D8">
        <w:t xml:space="preserve">. </w:t>
      </w:r>
      <w:r w:rsidR="00A827D8">
        <w:t>S</w:t>
      </w:r>
      <w:r w:rsidR="002474D8">
        <w:t>a première manifestation</w:t>
      </w:r>
      <w:r w:rsidR="007D5BC2">
        <w:t>, isolée il est vrai</w:t>
      </w:r>
      <w:r w:rsidR="00CA5876">
        <w:rPr>
          <w:rStyle w:val="Marquenotebasdepage"/>
        </w:rPr>
        <w:footnoteReference w:id="57"/>
      </w:r>
      <w:r w:rsidR="007D5BC2">
        <w:t>,</w:t>
      </w:r>
      <w:r w:rsidR="002474D8">
        <w:t xml:space="preserve"> </w:t>
      </w:r>
      <w:r w:rsidR="00A827D8">
        <w:t>remonte</w:t>
      </w:r>
      <w:r w:rsidR="000D5DD6">
        <w:t xml:space="preserve"> à une directive</w:t>
      </w:r>
      <w:r w:rsidR="000D5DD6">
        <w:rPr>
          <w:b/>
          <w:bCs/>
        </w:rPr>
        <w:t xml:space="preserve"> </w:t>
      </w:r>
      <w:r w:rsidR="000D5DD6" w:rsidRPr="00C15C63">
        <w:rPr>
          <w:bCs/>
        </w:rPr>
        <w:t>du 30 juin 1981</w:t>
      </w:r>
      <w:r w:rsidR="00A827D8" w:rsidRPr="00C15C63">
        <w:rPr>
          <w:bCs/>
        </w:rPr>
        <w:t xml:space="preserve"> concernant le développement de l</w:t>
      </w:r>
      <w:r w:rsidR="00C46822">
        <w:rPr>
          <w:bCs/>
        </w:rPr>
        <w:t>’</w:t>
      </w:r>
      <w:r w:rsidR="00A827D8" w:rsidRPr="00C15C63">
        <w:rPr>
          <w:bCs/>
        </w:rPr>
        <w:t>agriculture dans les départements français d</w:t>
      </w:r>
      <w:r w:rsidR="00C46822">
        <w:rPr>
          <w:bCs/>
        </w:rPr>
        <w:t>’</w:t>
      </w:r>
      <w:r w:rsidR="00A827D8" w:rsidRPr="00C15C63">
        <w:rPr>
          <w:bCs/>
        </w:rPr>
        <w:t>outre-mer</w:t>
      </w:r>
      <w:r w:rsidR="00704A55">
        <w:rPr>
          <w:bCs/>
        </w:rPr>
        <w:t>. L</w:t>
      </w:r>
      <w:r w:rsidR="00401332">
        <w:rPr>
          <w:bCs/>
        </w:rPr>
        <w:t xml:space="preserve">es motifs </w:t>
      </w:r>
      <w:r w:rsidR="00704A55">
        <w:rPr>
          <w:bCs/>
        </w:rPr>
        <w:t>en sont parfaitement explicites :</w:t>
      </w:r>
      <w:r w:rsidR="00704A55" w:rsidRPr="00704A55">
        <w:rPr>
          <w:rFonts w:ascii="Tahoma" w:eastAsia="Times New Roman" w:hAnsi="Tahoma" w:cs="Tahoma"/>
          <w:color w:val="444444"/>
          <w:sz w:val="19"/>
          <w:szCs w:val="19"/>
          <w:shd w:val="clear" w:color="auto" w:fill="FFFFFF"/>
        </w:rPr>
        <w:t xml:space="preserve"> </w:t>
      </w:r>
      <w:r w:rsidR="00704A55">
        <w:rPr>
          <w:rFonts w:ascii="Tahoma" w:eastAsia="Times New Roman" w:hAnsi="Tahoma" w:cs="Tahoma"/>
          <w:color w:val="444444"/>
          <w:sz w:val="19"/>
          <w:szCs w:val="19"/>
          <w:shd w:val="clear" w:color="auto" w:fill="FFFFFF"/>
        </w:rPr>
        <w:t>« </w:t>
      </w:r>
      <w:r w:rsidR="00704A55">
        <w:rPr>
          <w:bCs/>
        </w:rPr>
        <w:t>p</w:t>
      </w:r>
      <w:r w:rsidR="00704A55" w:rsidRPr="00704A55">
        <w:rPr>
          <w:bCs/>
        </w:rPr>
        <w:t xml:space="preserve">our atteindre les objectifs de la politique agricole commune </w:t>
      </w:r>
      <w:r w:rsidR="00704A55">
        <w:rPr>
          <w:bCs/>
        </w:rPr>
        <w:t>(…)</w:t>
      </w:r>
      <w:r w:rsidR="00704A55" w:rsidRPr="00704A55">
        <w:rPr>
          <w:bCs/>
        </w:rPr>
        <w:t xml:space="preserve"> des dispositions particulières, </w:t>
      </w:r>
      <w:r w:rsidR="00704A55" w:rsidRPr="00EC244F">
        <w:rPr>
          <w:bCs/>
          <w:i/>
        </w:rPr>
        <w:t xml:space="preserve">adaptées </w:t>
      </w:r>
      <w:r w:rsidR="00704A55" w:rsidRPr="00704A55">
        <w:rPr>
          <w:bCs/>
        </w:rPr>
        <w:t>à la situation des zones agricoles les plus défavorisées quant à leurs conditions de production, doivent être pr</w:t>
      </w:r>
      <w:r w:rsidR="00704A55">
        <w:rPr>
          <w:bCs/>
        </w:rPr>
        <w:t>ises au niveau de la Communauté »</w:t>
      </w:r>
      <w:r w:rsidR="00EC244F" w:rsidRPr="00EC244F">
        <w:rPr>
          <w:rStyle w:val="Marquenotebasdepage"/>
          <w:bCs/>
        </w:rPr>
        <w:t xml:space="preserve"> </w:t>
      </w:r>
      <w:r w:rsidR="00EC244F" w:rsidRPr="00C15C63">
        <w:rPr>
          <w:rStyle w:val="Marquenotebasdepage"/>
          <w:bCs/>
        </w:rPr>
        <w:footnoteReference w:id="58"/>
      </w:r>
      <w:r w:rsidR="00704A55">
        <w:rPr>
          <w:bCs/>
        </w:rPr>
        <w:t>. L</w:t>
      </w:r>
      <w:r w:rsidR="00C46822">
        <w:rPr>
          <w:bCs/>
        </w:rPr>
        <w:t>’</w:t>
      </w:r>
      <w:r w:rsidR="00704A55">
        <w:rPr>
          <w:bCs/>
        </w:rPr>
        <w:t xml:space="preserve">adaptation </w:t>
      </w:r>
      <w:r w:rsidR="007353FE">
        <w:rPr>
          <w:bCs/>
        </w:rPr>
        <w:t>est dictée par deux grandes considérations : un « </w:t>
      </w:r>
      <w:r w:rsidR="007353FE" w:rsidRPr="007353FE">
        <w:rPr>
          <w:bCs/>
        </w:rPr>
        <w:t>sous-développement très accentué par rapport aux a</w:t>
      </w:r>
      <w:r w:rsidR="007353FE">
        <w:rPr>
          <w:bCs/>
        </w:rPr>
        <w:t xml:space="preserve">utres régions de la Communauté » et </w:t>
      </w:r>
      <w:r w:rsidR="008D108E">
        <w:rPr>
          <w:bCs/>
        </w:rPr>
        <w:t>une</w:t>
      </w:r>
      <w:r w:rsidR="008D108E" w:rsidRPr="008D108E">
        <w:rPr>
          <w:bCs/>
        </w:rPr>
        <w:t> </w:t>
      </w:r>
      <w:r w:rsidR="00B02E56">
        <w:rPr>
          <w:bCs/>
        </w:rPr>
        <w:t>« </w:t>
      </w:r>
      <w:r w:rsidR="008D108E" w:rsidRPr="008D108E">
        <w:rPr>
          <w:bCs/>
        </w:rPr>
        <w:t xml:space="preserve">situation particulièrement défavorable au point de vue du rendement et des </w:t>
      </w:r>
      <w:r w:rsidR="008D108E" w:rsidRPr="008D108E">
        <w:rPr>
          <w:bCs/>
        </w:rPr>
        <w:lastRenderedPageBreak/>
        <w:t>revenus agricoles</w:t>
      </w:r>
      <w:r w:rsidR="008D108E">
        <w:rPr>
          <w:bCs/>
        </w:rPr>
        <w:t> ».</w:t>
      </w:r>
      <w:r w:rsidR="00AA5AB3">
        <w:rPr>
          <w:bCs/>
        </w:rPr>
        <w:t xml:space="preserve"> </w:t>
      </w:r>
      <w:r w:rsidR="00EC244F">
        <w:rPr>
          <w:bCs/>
        </w:rPr>
        <w:t>En vertu de cette exception-dérogation, l</w:t>
      </w:r>
      <w:r w:rsidR="00AA5AB3">
        <w:rPr>
          <w:bCs/>
        </w:rPr>
        <w:t>a France est habilité</w:t>
      </w:r>
      <w:r w:rsidR="00C05F0C">
        <w:rPr>
          <w:bCs/>
        </w:rPr>
        <w:t>e</w:t>
      </w:r>
      <w:r w:rsidR="007A323F">
        <w:rPr>
          <w:bCs/>
        </w:rPr>
        <w:t xml:space="preserve"> à</w:t>
      </w:r>
      <w:r w:rsidR="00AA5AB3">
        <w:rPr>
          <w:bCs/>
        </w:rPr>
        <w:t xml:space="preserve"> présenter une action commune </w:t>
      </w:r>
      <w:r w:rsidR="00C05F0C">
        <w:rPr>
          <w:bCs/>
        </w:rPr>
        <w:t>faisant l</w:t>
      </w:r>
      <w:r w:rsidR="00C46822">
        <w:rPr>
          <w:bCs/>
        </w:rPr>
        <w:t>’</w:t>
      </w:r>
      <w:r w:rsidR="00C05F0C">
        <w:rPr>
          <w:bCs/>
        </w:rPr>
        <w:t>objet d</w:t>
      </w:r>
      <w:r w:rsidR="00C46822">
        <w:rPr>
          <w:bCs/>
        </w:rPr>
        <w:t>’</w:t>
      </w:r>
      <w:r w:rsidR="00C05F0C">
        <w:rPr>
          <w:bCs/>
        </w:rPr>
        <w:t>un financement au titre de la PAC.</w:t>
      </w:r>
    </w:p>
    <w:p w14:paraId="2F2A8494" w14:textId="79C3A959" w:rsidR="002474D8" w:rsidRDefault="002474D8" w:rsidP="002474D8">
      <w:pPr>
        <w:spacing w:line="276" w:lineRule="auto"/>
        <w:jc w:val="both"/>
      </w:pPr>
    </w:p>
    <w:p w14:paraId="60B48833" w14:textId="7DFB5ABA" w:rsidR="00CD0403" w:rsidRDefault="00C05F0C" w:rsidP="00CB5DA1">
      <w:pPr>
        <w:spacing w:line="276" w:lineRule="auto"/>
        <w:jc w:val="both"/>
      </w:pPr>
      <w:r>
        <w:tab/>
        <w:t xml:space="preserve">Deux programmes </w:t>
      </w:r>
      <w:r w:rsidR="00EC244F">
        <w:t xml:space="preserve">communautaires </w:t>
      </w:r>
      <w:r w:rsidR="00F62BF6">
        <w:t>lancés en même temps à l</w:t>
      </w:r>
      <w:r w:rsidR="00C46822">
        <w:t>’</w:t>
      </w:r>
      <w:r w:rsidR="00F62BF6">
        <w:t xml:space="preserve">initiative de la Commission, </w:t>
      </w:r>
      <w:r w:rsidR="00F62BF6" w:rsidRPr="00F62BF6">
        <w:t>STAR (Service de Télécommunications Avancées pour les Régions européennes)</w:t>
      </w:r>
      <w:r w:rsidR="00F62BF6">
        <w:t xml:space="preserve"> et </w:t>
      </w:r>
      <w:r w:rsidR="00F62BF6" w:rsidRPr="00F62BF6">
        <w:t>VALOREN (</w:t>
      </w:r>
      <w:proofErr w:type="spellStart"/>
      <w:r w:rsidR="00F62BF6" w:rsidRPr="00F62BF6">
        <w:t>VALorisation</w:t>
      </w:r>
      <w:proofErr w:type="spellEnd"/>
      <w:r w:rsidR="00F62BF6" w:rsidRPr="00F62BF6">
        <w:t xml:space="preserve"> du potentiel </w:t>
      </w:r>
      <w:proofErr w:type="spellStart"/>
      <w:r w:rsidR="00F62BF6" w:rsidRPr="00F62BF6">
        <w:t>ENergétique</w:t>
      </w:r>
      <w:proofErr w:type="spellEnd"/>
      <w:r w:rsidR="00F62BF6" w:rsidRPr="00F62BF6">
        <w:t xml:space="preserve"> endogène</w:t>
      </w:r>
      <w:r w:rsidR="00F62BF6">
        <w:t>)</w:t>
      </w:r>
      <w:r w:rsidR="00F62BF6">
        <w:rPr>
          <w:rStyle w:val="Marquenotebasdepage"/>
        </w:rPr>
        <w:footnoteReference w:id="59"/>
      </w:r>
      <w:r w:rsidR="00F62BF6">
        <w:t xml:space="preserve"> concernent en France les départements d</w:t>
      </w:r>
      <w:r w:rsidR="00C46822">
        <w:t>’</w:t>
      </w:r>
      <w:r w:rsidR="00F62BF6">
        <w:t>outre-mer</w:t>
      </w:r>
      <w:r w:rsidR="00EC244F">
        <w:t xml:space="preserve"> mais également la Corse</w:t>
      </w:r>
      <w:r w:rsidR="00F62BF6">
        <w:t xml:space="preserve">. </w:t>
      </w:r>
      <w:r w:rsidR="00EC244F">
        <w:t xml:space="preserve">Aussi, est-ce surtout </w:t>
      </w:r>
      <w:r w:rsidR="009004EA">
        <w:t xml:space="preserve">à partir du </w:t>
      </w:r>
      <w:r w:rsidR="00685C06">
        <w:t>Programme d</w:t>
      </w:r>
      <w:r w:rsidR="00C46822">
        <w:t>’</w:t>
      </w:r>
      <w:r w:rsidR="00685C06">
        <w:t>O</w:t>
      </w:r>
      <w:r w:rsidR="00685C06" w:rsidRPr="00685C06">
        <w:t xml:space="preserve">ptions </w:t>
      </w:r>
      <w:r w:rsidR="00685C06">
        <w:t>S</w:t>
      </w:r>
      <w:r w:rsidR="00B72619">
        <w:t>pécifiques à l</w:t>
      </w:r>
      <w:r w:rsidR="00C46822">
        <w:t>’</w:t>
      </w:r>
      <w:r w:rsidR="00B72619">
        <w:t>É</w:t>
      </w:r>
      <w:r w:rsidR="00685C06">
        <w:t>loignement et à l</w:t>
      </w:r>
      <w:r w:rsidR="00C46822">
        <w:t>’</w:t>
      </w:r>
      <w:r w:rsidR="00685C06">
        <w:t>Insularité des Départements français d</w:t>
      </w:r>
      <w:r w:rsidR="00C46822">
        <w:t>’</w:t>
      </w:r>
      <w:r w:rsidR="00685C06">
        <w:t>O</w:t>
      </w:r>
      <w:r w:rsidR="00685C06" w:rsidRPr="00685C06">
        <w:t>utre</w:t>
      </w:r>
      <w:r w:rsidR="00685C06">
        <w:t>-M</w:t>
      </w:r>
      <w:r w:rsidR="00B72619">
        <w:t>er (POSÉ</w:t>
      </w:r>
      <w:r w:rsidR="00685C06" w:rsidRPr="00685C06">
        <w:t>IDOM</w:t>
      </w:r>
      <w:r w:rsidR="00685C06">
        <w:t>)</w:t>
      </w:r>
      <w:r w:rsidR="00685C06">
        <w:rPr>
          <w:rStyle w:val="Marquenotebasdepage"/>
        </w:rPr>
        <w:footnoteReference w:id="60"/>
      </w:r>
      <w:r w:rsidR="00685C06">
        <w:t xml:space="preserve"> qu</w:t>
      </w:r>
      <w:r w:rsidR="00C46822">
        <w:t>’</w:t>
      </w:r>
      <w:r w:rsidR="00685C06">
        <w:t>est isolé</w:t>
      </w:r>
      <w:r w:rsidR="00B02E56">
        <w:t>e</w:t>
      </w:r>
      <w:r w:rsidR="00685C06">
        <w:t xml:space="preserve"> la naissance d</w:t>
      </w:r>
      <w:r w:rsidR="00C46822">
        <w:t>’</w:t>
      </w:r>
      <w:r w:rsidR="00685C06">
        <w:t>une différenciation ultramarine</w:t>
      </w:r>
      <w:r w:rsidR="00EC244F">
        <w:t xml:space="preserve"> suivant une approche globale</w:t>
      </w:r>
      <w:r w:rsidR="00685C06">
        <w:t xml:space="preserve">. </w:t>
      </w:r>
      <w:r w:rsidR="003104A5">
        <w:t>Cette intention reçoit une manifestation simultanée avec l</w:t>
      </w:r>
      <w:r w:rsidR="00C46822">
        <w:t>’</w:t>
      </w:r>
      <w:r w:rsidR="003104A5">
        <w:t xml:space="preserve">adoption de </w:t>
      </w:r>
      <w:r w:rsidR="00A11AB5" w:rsidRPr="00CB5DA1">
        <w:t>la décision relative à l</w:t>
      </w:r>
      <w:r w:rsidR="00C46822">
        <w:t>’</w:t>
      </w:r>
      <w:r w:rsidR="00A11AB5" w:rsidRPr="00CB5DA1">
        <w:t>octroi de mer</w:t>
      </w:r>
      <w:r w:rsidR="00A11AB5" w:rsidRPr="00CB5DA1">
        <w:rPr>
          <w:vertAlign w:val="superscript"/>
        </w:rPr>
        <w:footnoteReference w:id="61"/>
      </w:r>
      <w:r w:rsidR="00A11AB5" w:rsidRPr="00CB5DA1">
        <w:t>.</w:t>
      </w:r>
      <w:r w:rsidR="00A11AB5">
        <w:t xml:space="preserve"> </w:t>
      </w:r>
      <w:r w:rsidR="00A11AB5" w:rsidRPr="00D46C8F">
        <w:t xml:space="preserve">Cette </w:t>
      </w:r>
      <w:r w:rsidR="00A11AB5">
        <w:t>ressource fiscale</w:t>
      </w:r>
      <w:r w:rsidR="00AF46EA">
        <w:t xml:space="preserve"> frappant</w:t>
      </w:r>
      <w:r w:rsidR="00A11AB5" w:rsidRPr="00D46C8F">
        <w:t xml:space="preserve"> à la fois les importations de marchandises et les activités de production en Guadeloupe, en Guyane, en Martinique, à Mayotte et à La Réunion</w:t>
      </w:r>
      <w:r w:rsidR="003104A5">
        <w:t>,</w:t>
      </w:r>
      <w:r w:rsidR="00A11AB5">
        <w:t xml:space="preserve"> </w:t>
      </w:r>
      <w:r w:rsidR="00A11AB5" w:rsidRPr="00D46C8F">
        <w:t>est reconduite jusqu</w:t>
      </w:r>
      <w:r w:rsidR="00C46822">
        <w:t>’</w:t>
      </w:r>
      <w:r w:rsidR="00A11AB5" w:rsidRPr="00D46C8F">
        <w:t>au 31 décembre 2020</w:t>
      </w:r>
      <w:r w:rsidR="00A11AB5">
        <w:rPr>
          <w:rStyle w:val="Marquenotebasdepage"/>
        </w:rPr>
        <w:footnoteReference w:id="62"/>
      </w:r>
      <w:r w:rsidR="003104A5">
        <w:t>, témoignant en cela de la relative pérennité de l</w:t>
      </w:r>
      <w:r w:rsidR="00C46822">
        <w:t>’</w:t>
      </w:r>
      <w:r w:rsidR="003104A5">
        <w:t>exception-adaptation</w:t>
      </w:r>
      <w:r w:rsidR="00A11AB5">
        <w:t xml:space="preserve">. </w:t>
      </w:r>
      <w:r w:rsidR="00B02E56">
        <w:t>C</w:t>
      </w:r>
      <w:r w:rsidR="003104A5">
        <w:t>entrée i</w:t>
      </w:r>
      <w:r w:rsidR="00685C06">
        <w:t xml:space="preserve">nitialement </w:t>
      </w:r>
      <w:r w:rsidR="003104A5">
        <w:t>sur</w:t>
      </w:r>
      <w:r w:rsidR="00685C06">
        <w:t xml:space="preserve"> la France, </w:t>
      </w:r>
      <w:r w:rsidR="00B02E56">
        <w:t>c</w:t>
      </w:r>
      <w:r w:rsidR="00157A41">
        <w:t>e programme es</w:t>
      </w:r>
      <w:r w:rsidR="00B02E56">
        <w:t>t</w:t>
      </w:r>
      <w:r w:rsidR="00157A41">
        <w:t xml:space="preserve"> fondé </w:t>
      </w:r>
      <w:r w:rsidR="000B50D4">
        <w:t xml:space="preserve">il est vrai </w:t>
      </w:r>
      <w:r w:rsidR="00157A41">
        <w:t>sur l</w:t>
      </w:r>
      <w:r w:rsidR="00C46822">
        <w:t>’</w:t>
      </w:r>
      <w:r w:rsidR="00157A41">
        <w:t>article 227</w:t>
      </w:r>
      <w:r w:rsidR="00B02E56">
        <w:t xml:space="preserve"> § 2 CEE relatif à l</w:t>
      </w:r>
      <w:r w:rsidR="00C46822">
        <w:t>’</w:t>
      </w:r>
      <w:r w:rsidR="00B02E56">
        <w:t>application sélective du traité pour les départements français d</w:t>
      </w:r>
      <w:r w:rsidR="00C46822">
        <w:t>’</w:t>
      </w:r>
      <w:r w:rsidR="00B02E56">
        <w:t>outre-mer</w:t>
      </w:r>
      <w:r w:rsidR="00B02E56">
        <w:rPr>
          <w:rStyle w:val="Marquenotebasdepage"/>
        </w:rPr>
        <w:footnoteReference w:id="63"/>
      </w:r>
      <w:r w:rsidR="00B02E56">
        <w:t>.</w:t>
      </w:r>
      <w:r w:rsidR="00157A41">
        <w:t xml:space="preserve"> Par la suite, </w:t>
      </w:r>
      <w:r w:rsidR="00A11AB5">
        <w:t>l</w:t>
      </w:r>
      <w:r w:rsidR="00C46822">
        <w:t>’</w:t>
      </w:r>
      <w:r w:rsidR="00A11AB5">
        <w:t>initiative communautaire</w:t>
      </w:r>
      <w:r w:rsidR="00B72619">
        <w:t xml:space="preserve"> POSÉ</w:t>
      </w:r>
      <w:r w:rsidR="003104A5">
        <w:t>IDOM</w:t>
      </w:r>
      <w:r w:rsidR="00685C06">
        <w:t xml:space="preserve"> va s</w:t>
      </w:r>
      <w:r w:rsidR="00C46822">
        <w:t>’</w:t>
      </w:r>
      <w:r w:rsidR="00685C06">
        <w:t>étendre aux territoires ayant des caractéristiques comparables à la faveur de l</w:t>
      </w:r>
      <w:r w:rsidR="00C46822">
        <w:t>’</w:t>
      </w:r>
      <w:r w:rsidR="00685C06">
        <w:t>adhésion en 1986 de l</w:t>
      </w:r>
      <w:r w:rsidR="00C46822">
        <w:t>’</w:t>
      </w:r>
      <w:r w:rsidR="00685C06">
        <w:t>Espagne et du Portugal.</w:t>
      </w:r>
      <w:r w:rsidR="00CB5DA1">
        <w:t xml:space="preserve"> </w:t>
      </w:r>
      <w:r w:rsidR="00D45778">
        <w:t>Au point d</w:t>
      </w:r>
      <w:r w:rsidR="00C46822">
        <w:t>’</w:t>
      </w:r>
      <w:r w:rsidR="00D45778">
        <w:t xml:space="preserve">être modélisée </w:t>
      </w:r>
      <w:r w:rsidR="00B61C82">
        <w:t xml:space="preserve">simultanément </w:t>
      </w:r>
      <w:r w:rsidR="00D45778">
        <w:t xml:space="preserve">par </w:t>
      </w:r>
      <w:r w:rsidR="00D45778" w:rsidRPr="00D45778">
        <w:t>l</w:t>
      </w:r>
      <w:r w:rsidR="00C46822">
        <w:t>’</w:t>
      </w:r>
      <w:r w:rsidR="00D45778" w:rsidRPr="00D45778">
        <w:t>adoption</w:t>
      </w:r>
      <w:r w:rsidR="00B61C82">
        <w:t xml:space="preserve"> </w:t>
      </w:r>
      <w:r w:rsidR="000B50D4">
        <w:t xml:space="preserve">en 1991 </w:t>
      </w:r>
      <w:r w:rsidR="00B61C82">
        <w:t xml:space="preserve">pour la première </w:t>
      </w:r>
      <w:r w:rsidR="00D45778" w:rsidRPr="00D45778">
        <w:t>d</w:t>
      </w:r>
      <w:r w:rsidR="00C46822">
        <w:t>’</w:t>
      </w:r>
      <w:r w:rsidR="00D45778" w:rsidRPr="00D45778">
        <w:t xml:space="preserve">un </w:t>
      </w:r>
      <w:r w:rsidR="00D45778">
        <w:t>Programme d</w:t>
      </w:r>
      <w:r w:rsidR="00C46822">
        <w:t>’</w:t>
      </w:r>
      <w:r w:rsidR="00D45778">
        <w:t>Options S</w:t>
      </w:r>
      <w:r w:rsidR="00B72619">
        <w:t>pécifiques à l</w:t>
      </w:r>
      <w:r w:rsidR="00C46822">
        <w:t>’</w:t>
      </w:r>
      <w:r w:rsidR="00B72619">
        <w:t>É</w:t>
      </w:r>
      <w:r w:rsidR="00D45778" w:rsidRPr="00D45778">
        <w:t>l</w:t>
      </w:r>
      <w:r w:rsidR="00B61C82">
        <w:t>oignement et à l</w:t>
      </w:r>
      <w:r w:rsidR="00C46822">
        <w:t>’</w:t>
      </w:r>
      <w:r w:rsidR="00B61C82">
        <w:t>I</w:t>
      </w:r>
      <w:r w:rsidR="00D45778">
        <w:t>nsularité de</w:t>
      </w:r>
      <w:r w:rsidR="00B61C82">
        <w:t xml:space="preserve">s </w:t>
      </w:r>
      <w:proofErr w:type="spellStart"/>
      <w:r w:rsidR="00B61C82">
        <w:t>CANaries</w:t>
      </w:r>
      <w:proofErr w:type="spellEnd"/>
      <w:r w:rsidR="00B61C82">
        <w:t xml:space="preserve"> (</w:t>
      </w:r>
      <w:r w:rsidR="00B72619">
        <w:t>POSÉ</w:t>
      </w:r>
      <w:r w:rsidR="00B61C82" w:rsidRPr="00D45778">
        <w:t>ICAN</w:t>
      </w:r>
      <w:r w:rsidR="00B61C82" w:rsidRPr="00D45778">
        <w:rPr>
          <w:vertAlign w:val="superscript"/>
        </w:rPr>
        <w:footnoteReference w:id="64"/>
      </w:r>
      <w:r w:rsidR="00B61C82">
        <w:t xml:space="preserve">) </w:t>
      </w:r>
      <w:r w:rsidR="00157A41">
        <w:t xml:space="preserve">et </w:t>
      </w:r>
      <w:r w:rsidR="00B61C82">
        <w:t>pour le second d</w:t>
      </w:r>
      <w:r w:rsidR="00C46822">
        <w:t>’</w:t>
      </w:r>
      <w:r w:rsidR="00B61C82">
        <w:t xml:space="preserve">un programme équivalent destiné à </w:t>
      </w:r>
      <w:r w:rsidR="00D45778">
        <w:t>M</w:t>
      </w:r>
      <w:r w:rsidR="00D45778" w:rsidRPr="00D45778">
        <w:t xml:space="preserve">adère et </w:t>
      </w:r>
      <w:r w:rsidR="00B61C82">
        <w:t>aux</w:t>
      </w:r>
      <w:r w:rsidR="00B72619">
        <w:t xml:space="preserve"> Açores (POSÉ</w:t>
      </w:r>
      <w:r w:rsidR="00B61C82">
        <w:t>IMA</w:t>
      </w:r>
      <w:r w:rsidR="00D45778" w:rsidRPr="00D45778">
        <w:rPr>
          <w:vertAlign w:val="superscript"/>
        </w:rPr>
        <w:footnoteReference w:id="65"/>
      </w:r>
      <w:r w:rsidR="00B61C82">
        <w:t>)</w:t>
      </w:r>
      <w:r w:rsidR="00D45B8F">
        <w:t xml:space="preserve">, rencontrant un indéniable succès </w:t>
      </w:r>
      <w:r w:rsidR="004903B5">
        <w:t>attesté par sa prolongation</w:t>
      </w:r>
      <w:r w:rsidR="00D45B8F">
        <w:t xml:space="preserve"> jusqu</w:t>
      </w:r>
      <w:r w:rsidR="00C46822">
        <w:t>’</w:t>
      </w:r>
      <w:r w:rsidR="00D45B8F">
        <w:t>à nos jours</w:t>
      </w:r>
      <w:r w:rsidR="003104A5">
        <w:rPr>
          <w:rStyle w:val="Marquenotebasdepage"/>
        </w:rPr>
        <w:footnoteReference w:id="66"/>
      </w:r>
      <w:r w:rsidR="00B61C82">
        <w:t>.</w:t>
      </w:r>
    </w:p>
    <w:p w14:paraId="3E05D48D" w14:textId="77777777" w:rsidR="003104A5" w:rsidRDefault="003104A5" w:rsidP="00EA4CE3">
      <w:pPr>
        <w:spacing w:line="276" w:lineRule="auto"/>
        <w:jc w:val="both"/>
      </w:pPr>
    </w:p>
    <w:p w14:paraId="48F5E941" w14:textId="4681D434" w:rsidR="00EA4CE3" w:rsidRPr="00EA4CE3" w:rsidRDefault="00B72619" w:rsidP="00EA4CE3">
      <w:pPr>
        <w:spacing w:line="276" w:lineRule="auto"/>
        <w:jc w:val="both"/>
      </w:pPr>
      <w:r>
        <w:tab/>
      </w:r>
      <w:r w:rsidR="006F4F64">
        <w:t>A</w:t>
      </w:r>
      <w:r>
        <w:t xml:space="preserve"> la charnière des années 1990</w:t>
      </w:r>
      <w:r w:rsidR="006F4F64">
        <w:t>,</w:t>
      </w:r>
      <w:r>
        <w:t xml:space="preserve"> une notion fait son apparition : celle </w:t>
      </w:r>
      <w:r w:rsidR="003D7A7A">
        <w:t>de</w:t>
      </w:r>
      <w:r w:rsidR="003D7A7A" w:rsidRPr="003D7A7A">
        <w:t xml:space="preserve"> </w:t>
      </w:r>
      <w:r w:rsidR="003D7A7A">
        <w:t>« </w:t>
      </w:r>
      <w:r w:rsidR="003D7A7A" w:rsidRPr="003D7A7A">
        <w:t>régions ultrapériphériques</w:t>
      </w:r>
      <w:r w:rsidR="003D7A7A">
        <w:t> »</w:t>
      </w:r>
      <w:r>
        <w:rPr>
          <w:rStyle w:val="Marquenotebasdepage"/>
        </w:rPr>
        <w:footnoteReference w:id="67"/>
      </w:r>
      <w:r w:rsidR="00DA491E">
        <w:t>. A</w:t>
      </w:r>
      <w:r>
        <w:t xml:space="preserve">bsente de la décision POSÉIDOM de </w:t>
      </w:r>
      <w:r w:rsidR="00402F40">
        <w:t>1989 elle figure da</w:t>
      </w:r>
      <w:r w:rsidR="00AA27E3">
        <w:t xml:space="preserve">ns les motifs </w:t>
      </w:r>
      <w:r w:rsidR="003D7A7A">
        <w:t xml:space="preserve">des deux décisions de </w:t>
      </w:r>
      <w:r w:rsidR="00DA491E">
        <w:t>199</w:t>
      </w:r>
      <w:r w:rsidR="00124F61">
        <w:t>1</w:t>
      </w:r>
      <w:r w:rsidR="00DA491E">
        <w:t xml:space="preserve"> et se trouve au cœur de la communication de la Commission lançant l</w:t>
      </w:r>
      <w:r w:rsidR="00C46822">
        <w:t>’</w:t>
      </w:r>
      <w:r w:rsidR="00DA491E">
        <w:t xml:space="preserve">initiative communautaire REGIS (pour Régions isolés) prévoyant des prêts et </w:t>
      </w:r>
      <w:r w:rsidR="006F4F64">
        <w:t>aides non remboursables destiné</w:t>
      </w:r>
      <w:r w:rsidR="00DA491E">
        <w:t>s aux régions ultrapériphériques</w:t>
      </w:r>
      <w:r w:rsidR="00DA491E">
        <w:rPr>
          <w:rStyle w:val="Marquenotebasdepage"/>
        </w:rPr>
        <w:footnoteReference w:id="68"/>
      </w:r>
      <w:r w:rsidR="00402F40">
        <w:t xml:space="preserve">. </w:t>
      </w:r>
      <w:r w:rsidR="00736627">
        <w:t>L</w:t>
      </w:r>
      <w:r w:rsidR="00C46822">
        <w:t>’</w:t>
      </w:r>
      <w:r w:rsidR="00736627">
        <w:t>expression</w:t>
      </w:r>
      <w:r w:rsidR="00D45B8F">
        <w:t xml:space="preserve"> est </w:t>
      </w:r>
      <w:r w:rsidR="000B50D4">
        <w:t xml:space="preserve">ensuite </w:t>
      </w:r>
      <w:r w:rsidR="00D45B8F">
        <w:t>à l</w:t>
      </w:r>
      <w:r w:rsidR="00C46822">
        <w:t>’</w:t>
      </w:r>
      <w:r w:rsidR="00D45B8F">
        <w:t>origine de la</w:t>
      </w:r>
      <w:r w:rsidR="00AA27E3">
        <w:t xml:space="preserve"> </w:t>
      </w:r>
      <w:r w:rsidR="00766E4A" w:rsidRPr="00766E4A">
        <w:t xml:space="preserve">Déclaration </w:t>
      </w:r>
      <w:r w:rsidR="006D3E94">
        <w:t xml:space="preserve">n° 26 </w:t>
      </w:r>
      <w:r w:rsidR="00D45B8F">
        <w:t xml:space="preserve">annexée au traité de Maastricht </w:t>
      </w:r>
      <w:r w:rsidR="00FA37EF">
        <w:t xml:space="preserve">précisément </w:t>
      </w:r>
      <w:r w:rsidR="006F4F64">
        <w:t>relative aux</w:t>
      </w:r>
      <w:r w:rsidR="00766E4A" w:rsidRPr="00766E4A">
        <w:t xml:space="preserve"> régions ul</w:t>
      </w:r>
      <w:r w:rsidR="00D45B8F">
        <w:t>trapériphériques.</w:t>
      </w:r>
      <w:r w:rsidR="00766E4A">
        <w:t xml:space="preserve"> Elle contient en germe la consécration opérée par le traité d</w:t>
      </w:r>
      <w:r w:rsidR="00C46822">
        <w:t>’</w:t>
      </w:r>
      <w:r w:rsidR="00766E4A">
        <w:t xml:space="preserve">Amsterdam en évoquant </w:t>
      </w:r>
      <w:r w:rsidR="003C253B">
        <w:t>d</w:t>
      </w:r>
      <w:r w:rsidR="00C46822">
        <w:t>’</w:t>
      </w:r>
      <w:r w:rsidR="003C253B">
        <w:t>une part</w:t>
      </w:r>
      <w:r w:rsidR="006F4F64">
        <w:t>,</w:t>
      </w:r>
      <w:r w:rsidR="003C253B">
        <w:t xml:space="preserve"> </w:t>
      </w:r>
      <w:r w:rsidR="00766E4A">
        <w:t>plusieurs de leurs traits propres</w:t>
      </w:r>
      <w:r w:rsidR="000B50D4">
        <w:t> :</w:t>
      </w:r>
      <w:r w:rsidR="00766E4A">
        <w:t xml:space="preserve"> « (</w:t>
      </w:r>
      <w:r w:rsidR="00766E4A" w:rsidRPr="00766E4A">
        <w:t xml:space="preserve">grand éloignement, insularité́, faible </w:t>
      </w:r>
      <w:r w:rsidR="00766E4A" w:rsidRPr="00766E4A">
        <w:lastRenderedPageBreak/>
        <w:t>superficie, relief et climat difficile, dépendance économique</w:t>
      </w:r>
      <w:r w:rsidR="00766E4A">
        <w:t xml:space="preserve"> vis-à-vis </w:t>
      </w:r>
      <w:r w:rsidR="00766E4A" w:rsidRPr="00766E4A">
        <w:t>de quelques produits) dont la constance et le cumul portent lourdement préjudice à leur développement économique et social</w:t>
      </w:r>
      <w:r w:rsidR="00766E4A">
        <w:t> »</w:t>
      </w:r>
      <w:r w:rsidR="00596DBB">
        <w:t>.</w:t>
      </w:r>
      <w:r w:rsidR="003C253B">
        <w:t xml:space="preserve"> D</w:t>
      </w:r>
      <w:r w:rsidR="00C46822">
        <w:t>’</w:t>
      </w:r>
      <w:r w:rsidR="003C253B">
        <w:t>autre part, elle « </w:t>
      </w:r>
      <w:r w:rsidR="003C253B" w:rsidRPr="003C253B">
        <w:t xml:space="preserve">estime que, si les dispositions du traité instituant la </w:t>
      </w:r>
      <w:proofErr w:type="spellStart"/>
      <w:r w:rsidR="003C253B" w:rsidRPr="003C253B">
        <w:t>Communaute</w:t>
      </w:r>
      <w:proofErr w:type="spellEnd"/>
      <w:r w:rsidR="003C253B" w:rsidRPr="003C253B">
        <w:t xml:space="preserve">́ </w:t>
      </w:r>
      <w:proofErr w:type="spellStart"/>
      <w:r w:rsidR="003C253B" w:rsidRPr="003C253B">
        <w:t>européenne</w:t>
      </w:r>
      <w:proofErr w:type="spellEnd"/>
      <w:r w:rsidR="003C253B" w:rsidRPr="003C253B">
        <w:t xml:space="preserve"> et du droit </w:t>
      </w:r>
      <w:proofErr w:type="spellStart"/>
      <w:r w:rsidR="003C253B" w:rsidRPr="003C253B">
        <w:t>dérive</w:t>
      </w:r>
      <w:proofErr w:type="spellEnd"/>
      <w:r w:rsidR="003C253B" w:rsidRPr="003C253B">
        <w:t>́ s</w:t>
      </w:r>
      <w:r w:rsidR="00C46822">
        <w:t>’</w:t>
      </w:r>
      <w:r w:rsidR="003C253B" w:rsidRPr="003C253B">
        <w:t xml:space="preserve">appliquent de plein droit aux </w:t>
      </w:r>
      <w:proofErr w:type="spellStart"/>
      <w:r w:rsidR="003C253B" w:rsidRPr="003C253B">
        <w:t>régions</w:t>
      </w:r>
      <w:proofErr w:type="spellEnd"/>
      <w:r w:rsidR="003C253B" w:rsidRPr="003C253B">
        <w:t xml:space="preserve"> </w:t>
      </w:r>
      <w:proofErr w:type="spellStart"/>
      <w:r w:rsidR="003C253B" w:rsidRPr="003C253B">
        <w:t>ultrapériphériques</w:t>
      </w:r>
      <w:proofErr w:type="spellEnd"/>
      <w:r w:rsidR="003C253B" w:rsidRPr="003C253B">
        <w:t>, il reste possible d</w:t>
      </w:r>
      <w:r w:rsidR="00C46822">
        <w:t>’</w:t>
      </w:r>
      <w:r w:rsidR="003C253B" w:rsidRPr="003C253B">
        <w:t xml:space="preserve">adopter des mesures </w:t>
      </w:r>
      <w:proofErr w:type="spellStart"/>
      <w:r w:rsidR="003C253B" w:rsidRPr="003C253B">
        <w:t>spécifiques</w:t>
      </w:r>
      <w:proofErr w:type="spellEnd"/>
      <w:r w:rsidR="003C253B" w:rsidRPr="003C253B">
        <w:t xml:space="preserve"> en leur faveur, dans la mesure et aussi longtemps qu</w:t>
      </w:r>
      <w:r w:rsidR="00C46822">
        <w:t>’</w:t>
      </w:r>
      <w:r w:rsidR="003C253B" w:rsidRPr="003C253B">
        <w:t>il existe un besoin objectif de prendre de telles mesures en vue d</w:t>
      </w:r>
      <w:r w:rsidR="00C46822">
        <w:t>’</w:t>
      </w:r>
      <w:r w:rsidR="003C253B" w:rsidRPr="003C253B">
        <w:t xml:space="preserve">un </w:t>
      </w:r>
      <w:proofErr w:type="spellStart"/>
      <w:r w:rsidR="003C253B" w:rsidRPr="003C253B">
        <w:t>développement</w:t>
      </w:r>
      <w:proofErr w:type="spellEnd"/>
      <w:r w:rsidR="003C253B" w:rsidRPr="003C253B">
        <w:t xml:space="preserve"> </w:t>
      </w:r>
      <w:proofErr w:type="spellStart"/>
      <w:r w:rsidR="003C253B" w:rsidRPr="003C253B">
        <w:t>économique</w:t>
      </w:r>
      <w:proofErr w:type="spellEnd"/>
      <w:r w:rsidR="003C253B" w:rsidRPr="003C253B">
        <w:t xml:space="preserve"> et social de ces </w:t>
      </w:r>
      <w:proofErr w:type="spellStart"/>
      <w:r w:rsidR="003C253B" w:rsidRPr="003C253B">
        <w:t>régions</w:t>
      </w:r>
      <w:proofErr w:type="spellEnd"/>
      <w:r w:rsidR="003C253B">
        <w:t> »</w:t>
      </w:r>
      <w:r w:rsidR="00D45B8F">
        <w:rPr>
          <w:rStyle w:val="Marquenotebasdepage"/>
        </w:rPr>
        <w:footnoteReference w:id="69"/>
      </w:r>
      <w:r w:rsidR="003C253B">
        <w:t>.</w:t>
      </w:r>
    </w:p>
    <w:p w14:paraId="47C6C568" w14:textId="295CEDA3" w:rsidR="00766E4A" w:rsidRDefault="00766E4A" w:rsidP="00EA4CE3">
      <w:pPr>
        <w:spacing w:line="276" w:lineRule="auto"/>
        <w:jc w:val="both"/>
      </w:pPr>
    </w:p>
    <w:p w14:paraId="6C92676D" w14:textId="0A469690" w:rsidR="001C1F93" w:rsidRPr="001C1F93" w:rsidRDefault="00736627" w:rsidP="001C1F93">
      <w:pPr>
        <w:spacing w:line="276" w:lineRule="auto"/>
        <w:jc w:val="both"/>
      </w:pPr>
      <w:r>
        <w:tab/>
        <w:t>Cette déclaration annonce le régime juridique à venir de la relation entre outre-mer et droit de l</w:t>
      </w:r>
      <w:r w:rsidR="00C46822">
        <w:t>’</w:t>
      </w:r>
      <w:r>
        <w:t xml:space="preserve">Union : </w:t>
      </w:r>
      <w:r w:rsidR="00BF04E8">
        <w:t>l</w:t>
      </w:r>
      <w:r w:rsidR="00C46822">
        <w:t>’</w:t>
      </w:r>
      <w:r w:rsidR="00BF04E8">
        <w:t>intégration par le refus d</w:t>
      </w:r>
      <w:r w:rsidR="00C46822">
        <w:t>’</w:t>
      </w:r>
      <w:r w:rsidR="00BF04E8">
        <w:t xml:space="preserve">une </w:t>
      </w:r>
      <w:r w:rsidR="00FA37EF">
        <w:t>exclusion territoriale</w:t>
      </w:r>
      <w:r w:rsidR="00E73F78">
        <w:t xml:space="preserve"> combinée avec un</w:t>
      </w:r>
      <w:r w:rsidR="00301EC3">
        <w:t xml:space="preserve">e </w:t>
      </w:r>
      <w:r w:rsidR="00FA37EF">
        <w:t>exception-</w:t>
      </w:r>
      <w:r w:rsidR="006F4F64">
        <w:t>adapt</w:t>
      </w:r>
      <w:r w:rsidR="00FA37EF">
        <w:t>ation</w:t>
      </w:r>
      <w:r w:rsidR="00BF04E8">
        <w:t>.</w:t>
      </w:r>
      <w:r w:rsidR="00817F91">
        <w:t xml:space="preserve"> F</w:t>
      </w:r>
      <w:r w:rsidR="004B533A">
        <w:t>ixé par l</w:t>
      </w:r>
      <w:r w:rsidR="00C46822">
        <w:t>’</w:t>
      </w:r>
      <w:r w:rsidR="00FA37EF">
        <w:t xml:space="preserve">article 299 § 2 </w:t>
      </w:r>
      <w:r w:rsidR="00817F91">
        <w:t xml:space="preserve">TCE </w:t>
      </w:r>
      <w:r w:rsidR="00D177E2">
        <w:t xml:space="preserve">(art. 349 TFUE) </w:t>
      </w:r>
      <w:r w:rsidR="00817F91">
        <w:t>tel qu</w:t>
      </w:r>
      <w:r w:rsidR="00832396">
        <w:t>e modifié</w:t>
      </w:r>
      <w:r w:rsidR="00817F91">
        <w:t xml:space="preserve"> par l</w:t>
      </w:r>
      <w:r w:rsidR="004B533A">
        <w:t>e traité d</w:t>
      </w:r>
      <w:r w:rsidR="00C46822">
        <w:t>’</w:t>
      </w:r>
      <w:r w:rsidR="004B533A">
        <w:t>Amsterdam</w:t>
      </w:r>
      <w:r w:rsidR="008F7550">
        <w:t>, ce statut re</w:t>
      </w:r>
      <w:r w:rsidR="00832396">
        <w:t xml:space="preserve">pose pour commencer </w:t>
      </w:r>
      <w:r w:rsidR="008F7550">
        <w:t xml:space="preserve">sur </w:t>
      </w:r>
      <w:r w:rsidR="00832396">
        <w:t>le principe d</w:t>
      </w:r>
      <w:r w:rsidR="00C46822">
        <w:t>’</w:t>
      </w:r>
      <w:r w:rsidR="00832396">
        <w:t>une pleine application du traité</w:t>
      </w:r>
      <w:r w:rsidR="00E64293">
        <w:t xml:space="preserve"> CE</w:t>
      </w:r>
      <w:r w:rsidR="00DD5A8B">
        <w:rPr>
          <w:rStyle w:val="Marquenotebasdepage"/>
        </w:rPr>
        <w:footnoteReference w:id="70"/>
      </w:r>
      <w:r w:rsidR="00832396">
        <w:t xml:space="preserve">. Il poursuit </w:t>
      </w:r>
      <w:r w:rsidR="00E64293">
        <w:t>en introduisant une rupture dans cette application (</w:t>
      </w:r>
      <w:r w:rsidR="008F7550">
        <w:t>« </w:t>
      </w:r>
      <w:r w:rsidR="00E64293">
        <w:t>toutefois</w:t>
      </w:r>
      <w:r w:rsidR="008F7550">
        <w:t> »</w:t>
      </w:r>
      <w:r w:rsidR="00E64293">
        <w:t>)</w:t>
      </w:r>
      <w:r w:rsidR="006F4F64">
        <w:t>,</w:t>
      </w:r>
      <w:r w:rsidR="00E64293">
        <w:t xml:space="preserve"> fondée sur l</w:t>
      </w:r>
      <w:r w:rsidR="00E64293" w:rsidRPr="00E64293">
        <w:t>es particularités économiques, sociales et géographiques</w:t>
      </w:r>
      <w:r w:rsidR="00E64293">
        <w:t xml:space="preserve"> de ces régions. </w:t>
      </w:r>
      <w:r w:rsidR="00831DEA">
        <w:t>E</w:t>
      </w:r>
      <w:r w:rsidR="00713F0C">
        <w:t>nfin, il se clô</w:t>
      </w:r>
      <w:r w:rsidR="00831DEA">
        <w:t xml:space="preserve">t sur </w:t>
      </w:r>
      <w:r w:rsidR="00AE7734">
        <w:t>les modalités d</w:t>
      </w:r>
      <w:r w:rsidR="00C46822">
        <w:t>’</w:t>
      </w:r>
      <w:r w:rsidR="00AE7734">
        <w:t xml:space="preserve">adoption des mesures spécifiques, </w:t>
      </w:r>
      <w:r w:rsidR="000B50D4">
        <w:t xml:space="preserve">pour retenir </w:t>
      </w:r>
      <w:r w:rsidR="00AE7734">
        <w:t xml:space="preserve">la procédure de consultation </w:t>
      </w:r>
      <w:r w:rsidR="009F24A0">
        <w:t>concernant diver</w:t>
      </w:r>
      <w:r w:rsidR="001C1F93">
        <w:t xml:space="preserve">s domaines </w:t>
      </w:r>
      <w:r w:rsidR="009F24A0">
        <w:t xml:space="preserve">énumérés </w:t>
      </w:r>
      <w:r w:rsidR="001C1F93">
        <w:t>(« </w:t>
      </w:r>
      <w:r w:rsidR="001C1F93" w:rsidRPr="001C1F93">
        <w:t>politiques douanières et commerciales, la politique fiscale, les zones franches, les politiques dans les</w:t>
      </w:r>
      <w:r w:rsidR="001C1F93">
        <w:t xml:space="preserve"> </w:t>
      </w:r>
      <w:r w:rsidR="001C1F93" w:rsidRPr="001C1F93">
        <w:t>domaines de l</w:t>
      </w:r>
      <w:r w:rsidR="00C46822">
        <w:t>’</w:t>
      </w:r>
      <w:r w:rsidR="001C1F93" w:rsidRPr="001C1F93">
        <w:t>agriculture et de la pêche, les conditions d</w:t>
      </w:r>
      <w:r w:rsidR="00C46822">
        <w:t>’</w:t>
      </w:r>
      <w:r w:rsidR="001C1F93" w:rsidRPr="001C1F93">
        <w:t>approvisionnement en matières premières et en</w:t>
      </w:r>
      <w:r w:rsidR="001C1F93">
        <w:t xml:space="preserve"> </w:t>
      </w:r>
      <w:r w:rsidR="001C1F93" w:rsidRPr="001C1F93">
        <w:t>biens de consommation de première nécessité, les aides d</w:t>
      </w:r>
      <w:r w:rsidR="00C46822">
        <w:t>’</w:t>
      </w:r>
      <w:r w:rsidR="001C1F93" w:rsidRPr="001C1F93">
        <w:t>État, et les conditions d</w:t>
      </w:r>
      <w:r w:rsidR="00C46822">
        <w:t>’</w:t>
      </w:r>
      <w:r w:rsidR="001C1F93" w:rsidRPr="001C1F93">
        <w:t>accès aux fonds</w:t>
      </w:r>
      <w:r w:rsidR="001C1F93">
        <w:t xml:space="preserve"> </w:t>
      </w:r>
      <w:r w:rsidR="001C1F93" w:rsidRPr="001C1F93">
        <w:t>structurels et aux programmes horizontaux</w:t>
      </w:r>
      <w:r w:rsidR="001C1F93">
        <w:t xml:space="preserve"> »). </w:t>
      </w:r>
      <w:r w:rsidR="00AF2C5A">
        <w:t xml:space="preserve">Le dernier </w:t>
      </w:r>
      <w:r w:rsidR="00E909D4">
        <w:t>alinéa est attentif à la préservation</w:t>
      </w:r>
      <w:r w:rsidR="00AF2C5A">
        <w:t xml:space="preserve"> </w:t>
      </w:r>
      <w:r w:rsidR="00E909D4">
        <w:t>de l</w:t>
      </w:r>
      <w:r w:rsidR="00C46822">
        <w:t>’</w:t>
      </w:r>
      <w:r w:rsidR="00E909D4">
        <w:t>intégrité et de la cohérence de l</w:t>
      </w:r>
      <w:r w:rsidR="00C46822">
        <w:t>’</w:t>
      </w:r>
      <w:r w:rsidR="00E909D4">
        <w:t xml:space="preserve">ordre juridique </w:t>
      </w:r>
      <w:r w:rsidR="00256307">
        <w:t>que ne sauraient atteindre ces mesures spécifiques</w:t>
      </w:r>
      <w:r w:rsidR="00256307">
        <w:rPr>
          <w:rStyle w:val="Marquenotebasdepage"/>
        </w:rPr>
        <w:footnoteReference w:id="71"/>
      </w:r>
      <w:r w:rsidR="00256307">
        <w:t>.</w:t>
      </w:r>
      <w:r w:rsidR="008F7550">
        <w:t xml:space="preserve"> Bien que la Commission considère que la reconnaissance de ce statut de RUP ne débouche pas sur « </w:t>
      </w:r>
      <w:r w:rsidR="008F7550" w:rsidRPr="00E40BFE">
        <w:t>un régime "d</w:t>
      </w:r>
      <w:r w:rsidR="00C46822">
        <w:t>’</w:t>
      </w:r>
      <w:proofErr w:type="spellStart"/>
      <w:r w:rsidR="008F7550" w:rsidRPr="00E40BFE">
        <w:t>opt</w:t>
      </w:r>
      <w:proofErr w:type="spellEnd"/>
      <w:r w:rsidR="008F7550" w:rsidRPr="00E40BFE">
        <w:t>-out"</w:t>
      </w:r>
      <w:r w:rsidR="008F7550">
        <w:t xml:space="preserve"> g</w:t>
      </w:r>
      <w:r w:rsidR="008F7550" w:rsidRPr="00E40BFE">
        <w:t>énéralisé</w:t>
      </w:r>
      <w:r w:rsidR="008F7550">
        <w:t> »</w:t>
      </w:r>
      <w:r w:rsidR="008F7550">
        <w:rPr>
          <w:rStyle w:val="Marquenotebasdepage"/>
        </w:rPr>
        <w:footnoteReference w:id="72"/>
      </w:r>
      <w:r w:rsidR="00466D3B">
        <w:t xml:space="preserve">, </w:t>
      </w:r>
      <w:r w:rsidR="009F24A0">
        <w:t xml:space="preserve">elle </w:t>
      </w:r>
      <w:r w:rsidR="007401B4">
        <w:t>prépare une intégration différenciée</w:t>
      </w:r>
      <w:r w:rsidR="00466D3B">
        <w:t xml:space="preserve"> étendue</w:t>
      </w:r>
      <w:r w:rsidR="008F7550">
        <w:t>.</w:t>
      </w:r>
    </w:p>
    <w:p w14:paraId="756E9739" w14:textId="72E55B07" w:rsidR="00766E4A" w:rsidRDefault="00766E4A" w:rsidP="00766E4A">
      <w:pPr>
        <w:spacing w:line="276" w:lineRule="auto"/>
        <w:jc w:val="both"/>
      </w:pPr>
    </w:p>
    <w:p w14:paraId="0D3C2ADE" w14:textId="4D03D167" w:rsidR="00421687" w:rsidRDefault="0080339A" w:rsidP="006D0BAC">
      <w:pPr>
        <w:spacing w:line="276" w:lineRule="auto"/>
        <w:jc w:val="both"/>
      </w:pPr>
      <w:r>
        <w:tab/>
      </w:r>
      <w:r w:rsidR="009F24A0">
        <w:t>Celle-ci</w:t>
      </w:r>
      <w:r w:rsidR="00466D3B">
        <w:t xml:space="preserve"> intervient avec l</w:t>
      </w:r>
      <w:r>
        <w:t xml:space="preserve">e traité de Lisbonne </w:t>
      </w:r>
      <w:r w:rsidR="00466D3B">
        <w:t>à la faveur d</w:t>
      </w:r>
      <w:r w:rsidR="00C46822">
        <w:t>’</w:t>
      </w:r>
      <w:r w:rsidR="00466D3B">
        <w:t>un dispositif scindé par</w:t>
      </w:r>
      <w:r w:rsidR="00CD1674">
        <w:t xml:space="preserve"> une inversion : la spécificité des régions ultrapériphériques est d</w:t>
      </w:r>
      <w:r w:rsidR="00C46822">
        <w:t>’</w:t>
      </w:r>
      <w:r w:rsidR="00CD1674">
        <w:t>abord soulignée par l</w:t>
      </w:r>
      <w:r w:rsidR="00C46822">
        <w:t>’</w:t>
      </w:r>
      <w:r w:rsidR="00CD1674">
        <w:t>article 349 TFUE ;</w:t>
      </w:r>
      <w:r w:rsidR="001E3BA8">
        <w:t xml:space="preserve"> la pleine application des</w:t>
      </w:r>
      <w:r w:rsidR="00CD1674">
        <w:t xml:space="preserve"> traité</w:t>
      </w:r>
      <w:r w:rsidR="001E3BA8">
        <w:t>s</w:t>
      </w:r>
      <w:r w:rsidR="00CD1674">
        <w:t xml:space="preserve"> </w:t>
      </w:r>
      <w:r w:rsidR="001E3BA8">
        <w:t xml:space="preserve">est ensuite </w:t>
      </w:r>
      <w:r w:rsidR="006D0BAC">
        <w:t>affirm</w:t>
      </w:r>
      <w:r w:rsidR="001E3BA8">
        <w:t>ée par l</w:t>
      </w:r>
      <w:r w:rsidR="00C46822">
        <w:t>’</w:t>
      </w:r>
      <w:r w:rsidR="001E3BA8">
        <w:t>article 355 TFUE en complément de l</w:t>
      </w:r>
      <w:r w:rsidR="00C46822">
        <w:t>’</w:t>
      </w:r>
      <w:r w:rsidR="001E3BA8">
        <w:t xml:space="preserve">article 52 TUE. </w:t>
      </w:r>
      <w:r w:rsidR="004E29A7">
        <w:t xml:space="preserve">Il résulte de cette combinaison </w:t>
      </w:r>
      <w:r w:rsidR="003F6C20">
        <w:t xml:space="preserve">un </w:t>
      </w:r>
      <w:r w:rsidR="006D0BAC" w:rsidRPr="006D0BAC">
        <w:t>« </w:t>
      </w:r>
      <w:r w:rsidR="003F6C20">
        <w:t xml:space="preserve">élargissement de </w:t>
      </w:r>
      <w:r w:rsidR="006D0BAC" w:rsidRPr="006D0BAC">
        <w:t>l</w:t>
      </w:r>
      <w:r w:rsidR="00C46822">
        <w:t>’</w:t>
      </w:r>
      <w:r w:rsidR="006D0BAC" w:rsidRPr="006D0BAC">
        <w:t>invocabilité de l</w:t>
      </w:r>
      <w:r w:rsidR="00C46822">
        <w:t>’</w:t>
      </w:r>
      <w:r w:rsidR="006D0BAC" w:rsidRPr="006D0BAC">
        <w:t>adaptation au sein du droit primaire »</w:t>
      </w:r>
      <w:r w:rsidR="006D0BAC" w:rsidRPr="006D0BAC">
        <w:rPr>
          <w:vertAlign w:val="superscript"/>
        </w:rPr>
        <w:footnoteReference w:id="73"/>
      </w:r>
      <w:r w:rsidR="006F4F64">
        <w:t xml:space="preserve">, </w:t>
      </w:r>
      <w:r w:rsidR="003F6C20">
        <w:t>puisque le</w:t>
      </w:r>
      <w:r w:rsidR="006D0BAC">
        <w:t xml:space="preserve"> cham</w:t>
      </w:r>
      <w:r w:rsidR="003F6C20">
        <w:t>p de la différenciation couvre</w:t>
      </w:r>
      <w:r w:rsidR="006D0BAC">
        <w:t xml:space="preserve"> désormais à la fois le TFUE </w:t>
      </w:r>
      <w:r w:rsidR="00EF28A4">
        <w:t>et</w:t>
      </w:r>
      <w:r w:rsidR="006D0BAC">
        <w:t xml:space="preserve"> le TUE. </w:t>
      </w:r>
      <w:r w:rsidR="00B2733F">
        <w:t>Enfin,</w:t>
      </w:r>
      <w:r w:rsidR="00421687">
        <w:t xml:space="preserve"> la mention de l</w:t>
      </w:r>
      <w:r w:rsidR="00C46822">
        <w:t>’</w:t>
      </w:r>
      <w:r w:rsidR="00421687">
        <w:t xml:space="preserve">adverbe notamment </w:t>
      </w:r>
      <w:r w:rsidR="00237800">
        <w:t>à l</w:t>
      </w:r>
      <w:r w:rsidR="00C46822">
        <w:t>’</w:t>
      </w:r>
      <w:r w:rsidR="00237800">
        <w:t xml:space="preserve">alinéa 2 </w:t>
      </w:r>
      <w:r w:rsidR="00421687">
        <w:t>explicite la volonté des auteurs des traités d</w:t>
      </w:r>
      <w:r w:rsidR="00C46822">
        <w:t>’</w:t>
      </w:r>
      <w:r w:rsidR="00421687">
        <w:t>écarter l</w:t>
      </w:r>
      <w:r w:rsidR="00C46822">
        <w:t>’</w:t>
      </w:r>
      <w:r w:rsidR="00421687">
        <w:t>approche limitative telle qu</w:t>
      </w:r>
      <w:r w:rsidR="00C46822">
        <w:t>’</w:t>
      </w:r>
      <w:r w:rsidR="00421687">
        <w:t>interprétée par la Cour de justice dans l</w:t>
      </w:r>
      <w:r w:rsidR="00C46822">
        <w:t>’</w:t>
      </w:r>
      <w:r w:rsidR="00421687">
        <w:t xml:space="preserve">arrêt </w:t>
      </w:r>
      <w:proofErr w:type="spellStart"/>
      <w:r w:rsidR="00237800">
        <w:t>Lancry</w:t>
      </w:r>
      <w:proofErr w:type="spellEnd"/>
      <w:r w:rsidR="00237800">
        <w:t xml:space="preserve"> </w:t>
      </w:r>
      <w:r w:rsidR="006F4F64">
        <w:t xml:space="preserve">précité </w:t>
      </w:r>
      <w:r w:rsidR="00237800">
        <w:t xml:space="preserve">et de privilégier une </w:t>
      </w:r>
      <w:r w:rsidR="00382E37">
        <w:t>adaptation</w:t>
      </w:r>
      <w:r w:rsidR="00237800">
        <w:t xml:space="preserve"> </w:t>
      </w:r>
      <w:r w:rsidR="00237800" w:rsidRPr="00237800">
        <w:rPr>
          <w:i/>
        </w:rPr>
        <w:t>erga o</w:t>
      </w:r>
      <w:r w:rsidR="00237800" w:rsidRPr="00EF28A4">
        <w:rPr>
          <w:i/>
        </w:rPr>
        <w:t>mnes</w:t>
      </w:r>
      <w:r w:rsidR="00237800" w:rsidRPr="00EF28A4">
        <w:rPr>
          <w:rStyle w:val="Marquenotebasdepage"/>
        </w:rPr>
        <w:footnoteReference w:id="74"/>
      </w:r>
      <w:r w:rsidR="00237800" w:rsidRPr="00EF28A4">
        <w:t>.</w:t>
      </w:r>
      <w:r w:rsidR="00B2733F">
        <w:t xml:space="preserve"> Il s</w:t>
      </w:r>
      <w:r w:rsidR="00C46822">
        <w:t>’</w:t>
      </w:r>
      <w:r w:rsidR="00B2733F">
        <w:t xml:space="preserve">ensuit que la </w:t>
      </w:r>
      <w:r w:rsidR="0006276F">
        <w:t>consolidation du statut des RUP</w:t>
      </w:r>
      <w:r w:rsidR="00931705">
        <w:t xml:space="preserve"> </w:t>
      </w:r>
      <w:r w:rsidR="00B2733F">
        <w:t xml:space="preserve">ne se fait pas à périmètre constant mais </w:t>
      </w:r>
      <w:r w:rsidR="0006276F">
        <w:t>épouse un cadre élargi ouvrant la voie à</w:t>
      </w:r>
      <w:r w:rsidR="002E2B0D">
        <w:t xml:space="preserve"> une généralisation de l</w:t>
      </w:r>
      <w:r w:rsidR="00C46822">
        <w:t>’</w:t>
      </w:r>
      <w:r w:rsidR="002E2B0D">
        <w:t>exception-adaptation.</w:t>
      </w:r>
    </w:p>
    <w:p w14:paraId="577444F5" w14:textId="77777777" w:rsidR="00256307" w:rsidRDefault="00256307" w:rsidP="00AF2C5A">
      <w:pPr>
        <w:spacing w:line="276" w:lineRule="auto"/>
        <w:jc w:val="both"/>
      </w:pPr>
    </w:p>
    <w:p w14:paraId="7965197E" w14:textId="51D6656F" w:rsidR="002E2B0D" w:rsidRPr="00A15CCD" w:rsidRDefault="002E2B0D" w:rsidP="002E2B0D">
      <w:pPr>
        <w:spacing w:line="276" w:lineRule="auto"/>
        <w:jc w:val="both"/>
        <w:rPr>
          <w:b/>
        </w:rPr>
      </w:pPr>
      <w:r w:rsidRPr="00A15CCD">
        <w:rPr>
          <w:b/>
        </w:rPr>
        <w:lastRenderedPageBreak/>
        <w:t>II – L</w:t>
      </w:r>
      <w:r w:rsidR="00C46822">
        <w:rPr>
          <w:b/>
        </w:rPr>
        <w:t>’</w:t>
      </w:r>
      <w:r w:rsidRPr="00A15CCD">
        <w:rPr>
          <w:b/>
        </w:rPr>
        <w:t>application spécifique du droit de l</w:t>
      </w:r>
      <w:r w:rsidR="00C46822">
        <w:rPr>
          <w:b/>
        </w:rPr>
        <w:t>’</w:t>
      </w:r>
      <w:r w:rsidRPr="00A15CCD">
        <w:rPr>
          <w:b/>
        </w:rPr>
        <w:t>Union aux RUP : vers la généralisation de l</w:t>
      </w:r>
      <w:r w:rsidR="00C46822">
        <w:rPr>
          <w:b/>
        </w:rPr>
        <w:t>’</w:t>
      </w:r>
      <w:r w:rsidRPr="00A15CCD">
        <w:rPr>
          <w:b/>
        </w:rPr>
        <w:t>exception</w:t>
      </w:r>
      <w:r>
        <w:rPr>
          <w:b/>
        </w:rPr>
        <w:t>-ad</w:t>
      </w:r>
      <w:r w:rsidRPr="00A15CCD">
        <w:rPr>
          <w:b/>
        </w:rPr>
        <w:t>a</w:t>
      </w:r>
      <w:r>
        <w:rPr>
          <w:b/>
        </w:rPr>
        <w:t>pta</w:t>
      </w:r>
      <w:r w:rsidRPr="00A15CCD">
        <w:rPr>
          <w:b/>
        </w:rPr>
        <w:t>t</w:t>
      </w:r>
      <w:r w:rsidR="001E576A">
        <w:rPr>
          <w:b/>
        </w:rPr>
        <w:t>ion</w:t>
      </w:r>
    </w:p>
    <w:p w14:paraId="2FE3E0FA" w14:textId="77777777" w:rsidR="00945E9F" w:rsidRPr="00766E4A" w:rsidRDefault="00945E9F" w:rsidP="003C253B">
      <w:pPr>
        <w:spacing w:line="276" w:lineRule="auto"/>
        <w:jc w:val="both"/>
      </w:pPr>
    </w:p>
    <w:p w14:paraId="58196A0D" w14:textId="07B779E8" w:rsidR="009E1BC1" w:rsidRPr="009E1BC1" w:rsidRDefault="00274A8B" w:rsidP="009E1BC1">
      <w:pPr>
        <w:spacing w:line="276" w:lineRule="auto"/>
        <w:jc w:val="both"/>
      </w:pPr>
      <w:r>
        <w:tab/>
      </w:r>
      <w:r w:rsidR="00696F34">
        <w:t>L</w:t>
      </w:r>
      <w:r w:rsidR="00C46822">
        <w:t>’</w:t>
      </w:r>
      <w:r w:rsidR="0063246F">
        <w:t>invers</w:t>
      </w:r>
      <w:r w:rsidR="00CC0728">
        <w:t>ion d</w:t>
      </w:r>
      <w:r w:rsidR="0063246F">
        <w:t>es perspectives</w:t>
      </w:r>
      <w:r w:rsidR="00696F34">
        <w:t xml:space="preserve"> par une exception-adaptation (art. 349 TFUE)</w:t>
      </w:r>
      <w:r w:rsidR="002E2B0D">
        <w:t xml:space="preserve"> dissociée </w:t>
      </w:r>
      <w:r w:rsidR="00CC0728">
        <w:t>pour précéder</w:t>
      </w:r>
      <w:r w:rsidR="002E2B0D">
        <w:t xml:space="preserve"> l</w:t>
      </w:r>
      <w:r w:rsidR="00C46822">
        <w:t>’</w:t>
      </w:r>
      <w:r w:rsidR="002E2B0D">
        <w:t>intégration</w:t>
      </w:r>
      <w:r w:rsidR="00CC0728">
        <w:t xml:space="preserve"> territoriale (art</w:t>
      </w:r>
      <w:r w:rsidR="00991CF1">
        <w:t>.</w:t>
      </w:r>
      <w:r w:rsidR="00CC0728">
        <w:t xml:space="preserve"> 355 TFUE)</w:t>
      </w:r>
      <w:r w:rsidR="00696F34">
        <w:t xml:space="preserve"> </w:t>
      </w:r>
      <w:r w:rsidR="00426BA4">
        <w:t>pose</w:t>
      </w:r>
      <w:r w:rsidR="00E40BFE">
        <w:t xml:space="preserve"> </w:t>
      </w:r>
      <w:r w:rsidR="00195E53">
        <w:t>la ques</w:t>
      </w:r>
      <w:r w:rsidR="001E576A">
        <w:t>tion</w:t>
      </w:r>
      <w:r w:rsidR="00E838DF">
        <w:t xml:space="preserve"> de</w:t>
      </w:r>
      <w:r w:rsidR="00426BA4">
        <w:t xml:space="preserve"> sa portée. Les éléments de réponse avanc</w:t>
      </w:r>
      <w:r w:rsidR="003B18F3">
        <w:t>és</w:t>
      </w:r>
      <w:r w:rsidR="00426BA4">
        <w:t xml:space="preserve"> par la Cour de justice confort</w:t>
      </w:r>
      <w:r w:rsidR="003B18F3">
        <w:t>ent le régime de l</w:t>
      </w:r>
      <w:r w:rsidR="00C46822">
        <w:t>’</w:t>
      </w:r>
      <w:r w:rsidR="003B18F3">
        <w:t xml:space="preserve">exception-adaptation </w:t>
      </w:r>
      <w:r w:rsidR="00F86F8D">
        <w:t xml:space="preserve">attaché aux RUP en étendant son emprise sur le droit dérivé </w:t>
      </w:r>
      <w:r w:rsidR="003B18F3">
        <w:t>(A</w:t>
      </w:r>
      <w:r w:rsidR="00F86F8D">
        <w:t>). Toutefois, le gain jurisprudentiel de certitude</w:t>
      </w:r>
      <w:r w:rsidR="003B18F3">
        <w:t>s quant au domaine d</w:t>
      </w:r>
      <w:r w:rsidR="00C46822">
        <w:t>’</w:t>
      </w:r>
      <w:r w:rsidR="003B18F3">
        <w:t>applic</w:t>
      </w:r>
      <w:r w:rsidR="00F86F8D">
        <w:t>ation de l</w:t>
      </w:r>
      <w:r w:rsidR="00C46822">
        <w:t>’</w:t>
      </w:r>
      <w:r w:rsidR="00F86F8D">
        <w:t>article 349 TFUE</w:t>
      </w:r>
      <w:r w:rsidR="00593C07">
        <w:t xml:space="preserve"> </w:t>
      </w:r>
      <w:r w:rsidR="00F86F8D">
        <w:t>s</w:t>
      </w:r>
      <w:r w:rsidR="00C46822">
        <w:t>’</w:t>
      </w:r>
      <w:r w:rsidR="00F86F8D">
        <w:t>accompagne</w:t>
      </w:r>
      <w:r w:rsidR="00FA1BEB">
        <w:t xml:space="preserve"> corrélativement </w:t>
      </w:r>
      <w:r w:rsidR="00593C07">
        <w:t>d</w:t>
      </w:r>
      <w:r w:rsidR="00C46822">
        <w:t>’</w:t>
      </w:r>
      <w:r w:rsidR="00593C07">
        <w:t>un t</w:t>
      </w:r>
      <w:r w:rsidR="00F86F8D">
        <w:t xml:space="preserve">rouble procédural quant à sa mise en </w:t>
      </w:r>
      <w:r w:rsidR="006F4F64">
        <w:t>œuvre ; l</w:t>
      </w:r>
      <w:r w:rsidR="008A6E20">
        <w:t>e flou procédural</w:t>
      </w:r>
      <w:r w:rsidR="006F4F64">
        <w:t xml:space="preserve"> chasse la précision matérielle</w:t>
      </w:r>
      <w:r w:rsidR="006F4F64" w:rsidRPr="006F4F64">
        <w:t xml:space="preserve"> </w:t>
      </w:r>
      <w:r w:rsidR="006F4F64">
        <w:t>(B).</w:t>
      </w:r>
    </w:p>
    <w:p w14:paraId="045A7A39" w14:textId="77777777" w:rsidR="00F92600" w:rsidRDefault="00F92600" w:rsidP="009E1BC1">
      <w:pPr>
        <w:spacing w:line="276" w:lineRule="auto"/>
        <w:jc w:val="both"/>
      </w:pPr>
    </w:p>
    <w:p w14:paraId="1E0F841F" w14:textId="506CAC0C" w:rsidR="00F92600" w:rsidRDefault="00BA228B" w:rsidP="009E1BC1">
      <w:pPr>
        <w:spacing w:line="276" w:lineRule="auto"/>
        <w:jc w:val="both"/>
      </w:pPr>
      <w:r>
        <w:t xml:space="preserve">A) </w:t>
      </w:r>
      <w:r w:rsidR="00945E9F">
        <w:t>L</w:t>
      </w:r>
      <w:r w:rsidR="00AA0194">
        <w:t xml:space="preserve">a consolidation du </w:t>
      </w:r>
      <w:r w:rsidR="003B18F3">
        <w:t>régime</w:t>
      </w:r>
      <w:r w:rsidR="00AA0194">
        <w:t xml:space="preserve"> </w:t>
      </w:r>
      <w:r>
        <w:t>de l</w:t>
      </w:r>
      <w:r w:rsidR="00C46822">
        <w:t>’</w:t>
      </w:r>
      <w:r>
        <w:t>ex</w:t>
      </w:r>
      <w:r w:rsidR="00945E9F">
        <w:t>ception</w:t>
      </w:r>
      <w:r w:rsidR="00E838DF">
        <w:t>-adaptation</w:t>
      </w:r>
      <w:r w:rsidR="008A6E20">
        <w:t xml:space="preserve"> par </w:t>
      </w:r>
      <w:r w:rsidR="009F24A0">
        <w:t xml:space="preserve">un domaine </w:t>
      </w:r>
      <w:r w:rsidR="00AA0194">
        <w:t>étendu au</w:t>
      </w:r>
      <w:r w:rsidR="001E576A">
        <w:t xml:space="preserve"> droit dérivé</w:t>
      </w:r>
    </w:p>
    <w:p w14:paraId="6C092B48" w14:textId="77777777" w:rsidR="00BA228B" w:rsidRDefault="00BA228B" w:rsidP="009E1BC1">
      <w:pPr>
        <w:spacing w:line="276" w:lineRule="auto"/>
        <w:jc w:val="both"/>
      </w:pPr>
    </w:p>
    <w:p w14:paraId="13185D0B" w14:textId="379737BA" w:rsidR="00640299" w:rsidRPr="00640299" w:rsidRDefault="00D6689F" w:rsidP="00640299">
      <w:pPr>
        <w:spacing w:line="276" w:lineRule="auto"/>
        <w:jc w:val="both"/>
      </w:pPr>
      <w:r>
        <w:tab/>
      </w:r>
      <w:r w:rsidR="008A6E20">
        <w:t>L</w:t>
      </w:r>
      <w:r w:rsidR="00E838DF">
        <w:t>a consécration d</w:t>
      </w:r>
      <w:r w:rsidR="00C46822">
        <w:t>’</w:t>
      </w:r>
      <w:r w:rsidR="00E838DF">
        <w:t xml:space="preserve">une disposition </w:t>
      </w:r>
      <w:r w:rsidR="00AF1B41">
        <w:t>par le traité d</w:t>
      </w:r>
      <w:r w:rsidR="00C46822">
        <w:t>’</w:t>
      </w:r>
      <w:r w:rsidR="00AF1B41">
        <w:t xml:space="preserve">Amsterdam </w:t>
      </w:r>
      <w:r w:rsidR="001E576A">
        <w:t>dédiée aux RUP soulève</w:t>
      </w:r>
      <w:r w:rsidR="00E838DF">
        <w:t xml:space="preserve"> l</w:t>
      </w:r>
      <w:r w:rsidR="00EB2832">
        <w:t xml:space="preserve">a question </w:t>
      </w:r>
      <w:r w:rsidR="00AF1B41">
        <w:t xml:space="preserve">- tôt posée par les institutions européennes - </w:t>
      </w:r>
      <w:r w:rsidR="00EB2832">
        <w:t xml:space="preserve">de </w:t>
      </w:r>
      <w:r w:rsidR="001E576A">
        <w:t>ses incidences institutionnelles et normatives</w:t>
      </w:r>
      <w:r w:rsidR="00DE6645">
        <w:t>. En réponse aux interrogations d</w:t>
      </w:r>
      <w:r w:rsidR="00C46822">
        <w:t>’</w:t>
      </w:r>
      <w:r w:rsidR="00DE6645">
        <w:t>un député européen, le président de la Commission</w:t>
      </w:r>
      <w:r w:rsidR="000D31E4" w:rsidRPr="000D31E4">
        <w:rPr>
          <w:rFonts w:eastAsia="Times New Roman"/>
        </w:rPr>
        <w:t xml:space="preserve"> </w:t>
      </w:r>
      <w:r w:rsidR="000D31E4">
        <w:rPr>
          <w:rFonts w:eastAsia="Times New Roman"/>
        </w:rPr>
        <w:t xml:space="preserve">observe que : </w:t>
      </w:r>
      <w:r w:rsidR="000D31E4">
        <w:t>« </w:t>
      </w:r>
      <w:r w:rsidR="000D31E4" w:rsidRPr="000D31E4">
        <w:t>le Conseil a tranché à l</w:t>
      </w:r>
      <w:r w:rsidR="00C46822">
        <w:t>’</w:t>
      </w:r>
      <w:r w:rsidR="000D31E4" w:rsidRPr="000D31E4">
        <w:t>unanimité, s</w:t>
      </w:r>
      <w:r w:rsidR="00C46822">
        <w:t>’</w:t>
      </w:r>
      <w:r w:rsidR="000D31E4" w:rsidRPr="000D31E4">
        <w:t>agissant des mesures qu</w:t>
      </w:r>
      <w:r w:rsidR="00C46822">
        <w:t>’</w:t>
      </w:r>
      <w:r w:rsidR="000D31E4" w:rsidRPr="000D31E4">
        <w:t>il a adoptées en juin dernier, pour le recours à la double base juridique. Pour sa part, la Commission maintient sa position quant à l</w:t>
      </w:r>
      <w:r w:rsidR="00C46822">
        <w:t>’</w:t>
      </w:r>
      <w:r w:rsidR="000D31E4" w:rsidRPr="000D31E4">
        <w:t>utilisation de l</w:t>
      </w:r>
      <w:r w:rsidR="00C46822">
        <w:t>’</w:t>
      </w:r>
      <w:r w:rsidR="000D31E4" w:rsidRPr="000D31E4">
        <w:t xml:space="preserve">article 299, paragraphe 2 comme base juridique pour les seules mesures dérogatoires </w:t>
      </w:r>
      <w:r w:rsidR="000D31E4" w:rsidRPr="00AF1B41">
        <w:rPr>
          <w:i/>
        </w:rPr>
        <w:t>aux dispositions du traité</w:t>
      </w:r>
      <w:r w:rsidR="000D31E4" w:rsidRPr="000D31E4">
        <w:t>, sans préjudice du recours aux bases juridiques spécifiques prévues pour les politiques communes</w:t>
      </w:r>
      <w:r w:rsidR="000D31E4">
        <w:t> »</w:t>
      </w:r>
      <w:r w:rsidR="006D7D44">
        <w:rPr>
          <w:rStyle w:val="Marquenotebasdepage"/>
        </w:rPr>
        <w:footnoteReference w:id="75"/>
      </w:r>
      <w:r w:rsidR="000D31E4">
        <w:t xml:space="preserve">. Ainsi, un cumul des bases juridiques est possible suivant </w:t>
      </w:r>
      <w:r w:rsidR="00E76F84">
        <w:t>l</w:t>
      </w:r>
      <w:r w:rsidR="00192097">
        <w:t xml:space="preserve">es lignes jurisprudentielles </w:t>
      </w:r>
      <w:r w:rsidR="001E576A">
        <w:t xml:space="preserve">alors </w:t>
      </w:r>
      <w:r w:rsidR="00192097">
        <w:t>fixées par la Cour de justice</w:t>
      </w:r>
      <w:r w:rsidR="00192097">
        <w:rPr>
          <w:rStyle w:val="Marquenotebasdepage"/>
        </w:rPr>
        <w:footnoteReference w:id="76"/>
      </w:r>
      <w:r w:rsidR="00192097">
        <w:t>,</w:t>
      </w:r>
      <w:r w:rsidR="00851A4C">
        <w:t xml:space="preserve"> </w:t>
      </w:r>
      <w:r w:rsidR="00192097">
        <w:t>et illustré par la première mise en oeuvre de l</w:t>
      </w:r>
      <w:r w:rsidR="00C46822">
        <w:t>’</w:t>
      </w:r>
      <w:r w:rsidR="001E576A">
        <w:t>article 299</w:t>
      </w:r>
      <w:r w:rsidR="00AF1B41">
        <w:t xml:space="preserve"> § 2</w:t>
      </w:r>
      <w:r w:rsidR="00192097">
        <w:t xml:space="preserve"> CE</w:t>
      </w:r>
      <w:r w:rsidR="00640299">
        <w:t xml:space="preserve"> au sujet de la révision du POSEIMA</w:t>
      </w:r>
      <w:r w:rsidR="00640299">
        <w:rPr>
          <w:rStyle w:val="Marquenotebasdepage"/>
        </w:rPr>
        <w:footnoteReference w:id="77"/>
      </w:r>
      <w:r w:rsidR="00640299">
        <w:t xml:space="preserve">. </w:t>
      </w:r>
      <w:r w:rsidR="00990729">
        <w:t xml:space="preserve">Il est également possible, hors de toute mention dans les visas </w:t>
      </w:r>
      <w:r w:rsidR="001D7797">
        <w:t xml:space="preserve">de cet article, de le voir mentionné dans les motifs et le dispositif de la réglementation européenne en particulier </w:t>
      </w:r>
      <w:r w:rsidR="009F24A0">
        <w:t>en matière</w:t>
      </w:r>
      <w:r w:rsidR="001D7797">
        <w:t xml:space="preserve"> de politique de cohésion économique et sociale.</w:t>
      </w:r>
      <w:r w:rsidR="00FE4D7C">
        <w:t xml:space="preserve"> </w:t>
      </w:r>
      <w:r w:rsidR="00690C0D">
        <w:t xml:space="preserve">Mais en aucun cas, il ne peut faire figure de </w:t>
      </w:r>
      <w:proofErr w:type="spellStart"/>
      <w:r w:rsidR="00690C0D" w:rsidRPr="00690C0D">
        <w:rPr>
          <w:i/>
        </w:rPr>
        <w:t>lex</w:t>
      </w:r>
      <w:proofErr w:type="spellEnd"/>
      <w:r w:rsidR="00690C0D" w:rsidRPr="00690C0D">
        <w:rPr>
          <w:i/>
        </w:rPr>
        <w:t xml:space="preserve"> </w:t>
      </w:r>
      <w:proofErr w:type="spellStart"/>
      <w:r w:rsidR="00690C0D" w:rsidRPr="00690C0D">
        <w:rPr>
          <w:i/>
        </w:rPr>
        <w:t>specialis</w:t>
      </w:r>
      <w:proofErr w:type="spellEnd"/>
      <w:r w:rsidR="001E576A">
        <w:t>,</w:t>
      </w:r>
      <w:r w:rsidR="00690C0D">
        <w:t xml:space="preserve"> « il serait difficilement envisageable que cet article </w:t>
      </w:r>
      <w:r w:rsidR="00B85409">
        <w:t>serve de fondement juridique unique et permette par là même de contourner des règles de procédure plus rigoureuse</w:t>
      </w:r>
      <w:r w:rsidR="006A6223">
        <w:t>s</w:t>
      </w:r>
      <w:r w:rsidR="00B85409">
        <w:t> »</w:t>
      </w:r>
      <w:r w:rsidR="007774EC">
        <w:rPr>
          <w:rStyle w:val="Marquenotebasdepage"/>
        </w:rPr>
        <w:footnoteReference w:id="78"/>
      </w:r>
      <w:r w:rsidR="00B85409">
        <w:t>. En d</w:t>
      </w:r>
      <w:r w:rsidR="00C46822">
        <w:t>’</w:t>
      </w:r>
      <w:r w:rsidR="00B85409">
        <w:t xml:space="preserve">autres termes, prévoyant la seule consultation du Parlement </w:t>
      </w:r>
      <w:r w:rsidR="00D802AF">
        <w:t xml:space="preserve">européen </w:t>
      </w:r>
      <w:r w:rsidR="00B85409">
        <w:t>au terme d</w:t>
      </w:r>
      <w:r w:rsidR="00C46822">
        <w:t>’</w:t>
      </w:r>
      <w:r w:rsidR="00B85409">
        <w:t>un avis que doit solliciter le Conseil avant de se prononcer à la majorité qualifiée, cet article</w:t>
      </w:r>
      <w:r w:rsidR="006A6223">
        <w:t xml:space="preserve"> ne pourrai</w:t>
      </w:r>
      <w:r w:rsidR="00D802AF">
        <w:t>t être utilisé afin de substituer ce mode décisionnel à d</w:t>
      </w:r>
      <w:r w:rsidR="00C46822">
        <w:t>’</w:t>
      </w:r>
      <w:r w:rsidR="00D802AF">
        <w:t>autres l</w:t>
      </w:r>
      <w:r w:rsidR="00C46822">
        <w:t>’</w:t>
      </w:r>
      <w:r w:rsidR="00D802AF">
        <w:t xml:space="preserve">associant plus étroitement </w:t>
      </w:r>
      <w:r w:rsidR="006F4F64">
        <w:t>comme</w:t>
      </w:r>
      <w:r w:rsidR="00D802AF">
        <w:t xml:space="preserve"> colégislateur de l</w:t>
      </w:r>
      <w:r w:rsidR="00C46822">
        <w:t>’</w:t>
      </w:r>
      <w:r w:rsidR="00D802AF">
        <w:t>Union</w:t>
      </w:r>
      <w:r w:rsidR="006F4F64">
        <w:rPr>
          <w:rStyle w:val="Marquenotebasdepage"/>
        </w:rPr>
        <w:footnoteReference w:id="79"/>
      </w:r>
      <w:r w:rsidR="008C13A8">
        <w:t xml:space="preserve">. </w:t>
      </w:r>
      <w:r w:rsidR="007774EC">
        <w:t>Cette tentation est dissipée par le</w:t>
      </w:r>
      <w:r w:rsidR="00CB4FC4">
        <w:t xml:space="preserve"> </w:t>
      </w:r>
      <w:r w:rsidR="00D67914">
        <w:t xml:space="preserve">conception de la </w:t>
      </w:r>
      <w:r w:rsidR="00CB4FC4">
        <w:t xml:space="preserve">Commission </w:t>
      </w:r>
      <w:r w:rsidR="007774EC">
        <w:t xml:space="preserve">car </w:t>
      </w:r>
      <w:r w:rsidR="00D67914">
        <w:t>elle entend</w:t>
      </w:r>
      <w:r w:rsidR="00123B95">
        <w:t>, à la différence du Conseil,</w:t>
      </w:r>
      <w:r w:rsidR="00D67914">
        <w:t xml:space="preserve"> réserver la prise en compte des RUP aux adaptations </w:t>
      </w:r>
      <w:r w:rsidR="008A7B8A">
        <w:t>touchant le droit primaire</w:t>
      </w:r>
      <w:r w:rsidR="00F454B3">
        <w:rPr>
          <w:rStyle w:val="Marquenotebasdepage"/>
        </w:rPr>
        <w:footnoteReference w:id="80"/>
      </w:r>
      <w:r w:rsidR="00123B95">
        <w:t xml:space="preserve">. De toute évidence, en ne partageant pas cette lecture le Conseil ouvre la voie à de possibles </w:t>
      </w:r>
      <w:r w:rsidR="008A7B8A">
        <w:t>recul</w:t>
      </w:r>
      <w:r w:rsidR="00123B95">
        <w:t>s</w:t>
      </w:r>
      <w:r w:rsidR="008A7B8A">
        <w:t xml:space="preserve"> des droits du Parlement europ</w:t>
      </w:r>
      <w:r w:rsidR="006F4F64">
        <w:t xml:space="preserve">éen ; </w:t>
      </w:r>
      <w:r w:rsidR="004273C0">
        <w:t>l</w:t>
      </w:r>
      <w:r w:rsidR="00C46822">
        <w:t>’</w:t>
      </w:r>
      <w:r w:rsidR="00BD63EE">
        <w:t xml:space="preserve">exclusivité </w:t>
      </w:r>
      <w:r w:rsidR="007774EC">
        <w:t xml:space="preserve">potentielle </w:t>
      </w:r>
      <w:r w:rsidR="00BD63EE">
        <w:t>de l</w:t>
      </w:r>
      <w:r w:rsidR="00C46822">
        <w:t>’</w:t>
      </w:r>
      <w:r w:rsidR="00BD63EE">
        <w:t xml:space="preserve">article </w:t>
      </w:r>
      <w:r w:rsidR="007774EC">
        <w:t xml:space="preserve">349 TFUE comme </w:t>
      </w:r>
      <w:r w:rsidR="009F24A0">
        <w:t>base juridique</w:t>
      </w:r>
      <w:r w:rsidR="007774EC">
        <w:t xml:space="preserve"> </w:t>
      </w:r>
      <w:r w:rsidR="006F4F64">
        <w:t>est susceptible d</w:t>
      </w:r>
      <w:r w:rsidR="00C46822">
        <w:t>’</w:t>
      </w:r>
      <w:r w:rsidR="006F4F64">
        <w:t>anéantir</w:t>
      </w:r>
      <w:r w:rsidR="004273C0">
        <w:t xml:space="preserve"> la procédure législative ordinaire inaugurée par le traité de Lisbonne.</w:t>
      </w:r>
    </w:p>
    <w:p w14:paraId="28B621F3" w14:textId="5849BA9C" w:rsidR="00640299" w:rsidRDefault="00640299" w:rsidP="00640299">
      <w:pPr>
        <w:spacing w:line="276" w:lineRule="auto"/>
        <w:jc w:val="both"/>
      </w:pPr>
    </w:p>
    <w:p w14:paraId="6B590706" w14:textId="67B59D3B" w:rsidR="007D6415" w:rsidRDefault="00FA103F" w:rsidP="007D6415">
      <w:pPr>
        <w:spacing w:line="276" w:lineRule="auto"/>
        <w:jc w:val="both"/>
      </w:pPr>
      <w:r>
        <w:tab/>
      </w:r>
      <w:r w:rsidR="00AF1B41">
        <w:t>C</w:t>
      </w:r>
      <w:r w:rsidR="00945E9F">
        <w:t>es appréciations divergentes quant à la mise en œuvre du statut différencié des RUP</w:t>
      </w:r>
      <w:r w:rsidR="00614397">
        <w:t xml:space="preserve"> </w:t>
      </w:r>
      <w:r w:rsidR="00AF1B41">
        <w:t>sont entretenues, voire aggravées par</w:t>
      </w:r>
      <w:r w:rsidR="00614397">
        <w:t xml:space="preserve"> </w:t>
      </w:r>
      <w:r w:rsidR="00B00AA0">
        <w:t>les modifications apportées par le traité de Lisbonne</w:t>
      </w:r>
      <w:r w:rsidR="005C65DC">
        <w:t>.</w:t>
      </w:r>
      <w:r w:rsidR="00AF1B41">
        <w:t xml:space="preserve"> </w:t>
      </w:r>
      <w:r w:rsidR="009F24A0">
        <w:t>T</w:t>
      </w:r>
      <w:r w:rsidR="007D6415">
        <w:t xml:space="preserve">out en </w:t>
      </w:r>
      <w:r w:rsidR="007D6415">
        <w:lastRenderedPageBreak/>
        <w:t>reprenant la formulation antérieure (le Conseil « </w:t>
      </w:r>
      <w:r w:rsidR="007D6415" w:rsidRPr="007D6415">
        <w:t>arrête des mesures spécifiques visant, en particulier, à fixer les</w:t>
      </w:r>
      <w:r w:rsidR="007D6415">
        <w:t xml:space="preserve"> </w:t>
      </w:r>
      <w:r w:rsidR="007D6415" w:rsidRPr="007D6415">
        <w:t>conditions de l</w:t>
      </w:r>
      <w:r w:rsidR="00C46822">
        <w:t>’</w:t>
      </w:r>
      <w:r w:rsidR="007D6415" w:rsidRPr="007D6415">
        <w:t>application du présent traité à ces régions, y compris les politiques communes</w:t>
      </w:r>
      <w:r w:rsidR="007D6415">
        <w:t xml:space="preserve"> ») </w:t>
      </w:r>
      <w:r w:rsidR="009F24A0">
        <w:t>l</w:t>
      </w:r>
      <w:r w:rsidR="00C46822">
        <w:t>’</w:t>
      </w:r>
      <w:r w:rsidR="009F24A0">
        <w:t xml:space="preserve">article 349 TFUE </w:t>
      </w:r>
      <w:r w:rsidR="007D6415">
        <w:t>introduit un balanceme</w:t>
      </w:r>
      <w:r w:rsidR="00AF1B41">
        <w:t xml:space="preserve">nt </w:t>
      </w:r>
      <w:r w:rsidR="007774EC">
        <w:t>à la clôture de l</w:t>
      </w:r>
      <w:r w:rsidR="00C46822">
        <w:t>’</w:t>
      </w:r>
      <w:r w:rsidR="007774EC">
        <w:t>alinéa 1 laiss</w:t>
      </w:r>
      <w:r w:rsidR="00AF1B41">
        <w:t xml:space="preserve">ant </w:t>
      </w:r>
      <w:r w:rsidR="007774EC">
        <w:t xml:space="preserve">place </w:t>
      </w:r>
      <w:r w:rsidR="00AF1B41">
        <w:t>au doute : « </w:t>
      </w:r>
      <w:r w:rsidR="007D6415" w:rsidRPr="007D6415">
        <w:t>Lorsque les mesures spécifiques en question sont adoptées par le</w:t>
      </w:r>
      <w:r w:rsidR="007D6415">
        <w:t xml:space="preserve"> </w:t>
      </w:r>
      <w:r w:rsidR="007D6415" w:rsidRPr="007D6415">
        <w:t>Conseil conformément à une procédure législative spéciale, il statue également sur proposition de la</w:t>
      </w:r>
      <w:r w:rsidR="007D6415">
        <w:t xml:space="preserve"> </w:t>
      </w:r>
      <w:r w:rsidR="007D6415" w:rsidRPr="007D6415">
        <w:t>Commission et après consultation du Parlement européen</w:t>
      </w:r>
      <w:r w:rsidR="007D6415">
        <w:t> »</w:t>
      </w:r>
      <w:r w:rsidR="007D6415" w:rsidRPr="007D6415">
        <w:t>.</w:t>
      </w:r>
      <w:r w:rsidR="007D6415">
        <w:t xml:space="preserve"> </w:t>
      </w:r>
      <w:r w:rsidR="00AF1B41">
        <w:t>Si</w:t>
      </w:r>
      <w:r w:rsidR="007774EC">
        <w:t>,</w:t>
      </w:r>
      <w:r w:rsidR="00AF1B41">
        <w:t xml:space="preserve"> premièrement</w:t>
      </w:r>
      <w:r w:rsidR="007D6415">
        <w:t xml:space="preserve">, </w:t>
      </w:r>
      <w:r w:rsidR="00724C45">
        <w:t>l</w:t>
      </w:r>
      <w:r w:rsidR="00C46822">
        <w:t>’</w:t>
      </w:r>
      <w:r w:rsidR="00724C45">
        <w:t xml:space="preserve">absence de toute précision quant </w:t>
      </w:r>
      <w:r w:rsidR="00206763">
        <w:t>au mode de votation doit être lue à l</w:t>
      </w:r>
      <w:r w:rsidR="00C46822">
        <w:t>’</w:t>
      </w:r>
      <w:r w:rsidR="00206763">
        <w:t>aune de l</w:t>
      </w:r>
      <w:r w:rsidR="00C46822">
        <w:t>’</w:t>
      </w:r>
      <w:r w:rsidR="00206763">
        <w:t>article 16</w:t>
      </w:r>
      <w:r w:rsidR="00AF1B41">
        <w:t>,</w:t>
      </w:r>
      <w:r w:rsidR="00206763">
        <w:t xml:space="preserve"> § 3 TUE retenant que</w:t>
      </w:r>
      <w:r w:rsidR="00206763" w:rsidRPr="00206763">
        <w:t xml:space="preserve"> </w:t>
      </w:r>
      <w:r w:rsidR="00206763">
        <w:rPr>
          <w:iCs/>
        </w:rPr>
        <w:t>« </w:t>
      </w:r>
      <w:r w:rsidR="00206763" w:rsidRPr="00206763">
        <w:rPr>
          <w:iCs/>
        </w:rPr>
        <w:t>le Conseil statue à la majorité qualifiée, sauf dans les cas où le</w:t>
      </w:r>
      <w:r w:rsidR="00206763">
        <w:rPr>
          <w:iCs/>
        </w:rPr>
        <w:t>s traités en disposent autrement »</w:t>
      </w:r>
      <w:r w:rsidR="004801C4">
        <w:t>, il semble</w:t>
      </w:r>
      <w:r w:rsidR="007D6415">
        <w:t xml:space="preserve"> </w:t>
      </w:r>
      <w:r w:rsidR="00AF1B41">
        <w:t>deuxièmement opérer</w:t>
      </w:r>
      <w:r w:rsidR="007D6415">
        <w:t xml:space="preserve"> une distinction entre les adaptations touchant aux « conditions de l</w:t>
      </w:r>
      <w:r w:rsidR="00C46822">
        <w:t>’</w:t>
      </w:r>
      <w:r w:rsidR="007D6415">
        <w:t>applicatio</w:t>
      </w:r>
      <w:r w:rsidR="007774EC">
        <w:t>n du présent traité », situées</w:t>
      </w:r>
      <w:r w:rsidR="007D6415">
        <w:t xml:space="preserve"> </w:t>
      </w:r>
      <w:r w:rsidR="0077052D">
        <w:t xml:space="preserve">au niveau du droit primaire, </w:t>
      </w:r>
      <w:r w:rsidR="004801C4">
        <w:t xml:space="preserve">et </w:t>
      </w:r>
      <w:r w:rsidR="00A010E2">
        <w:t>les « mesures spécifiques » relevant d</w:t>
      </w:r>
      <w:r w:rsidR="00C46822">
        <w:t>’</w:t>
      </w:r>
      <w:r w:rsidR="00A010E2">
        <w:t>une « pro</w:t>
      </w:r>
      <w:r w:rsidR="001F6D3F">
        <w:t>cédure législative spéciale » et par conséquent du</w:t>
      </w:r>
      <w:r w:rsidR="00A010E2">
        <w:t xml:space="preserve"> droit dérivé. </w:t>
      </w:r>
      <w:r w:rsidR="00AF1B41">
        <w:t>L</w:t>
      </w:r>
      <w:r w:rsidR="00C46822">
        <w:t>’</w:t>
      </w:r>
      <w:r w:rsidR="001F6D3F">
        <w:t>article 289</w:t>
      </w:r>
      <w:r w:rsidR="00660856">
        <w:t xml:space="preserve"> § 3 </w:t>
      </w:r>
      <w:r w:rsidR="009F4C56">
        <w:t xml:space="preserve">TFUE </w:t>
      </w:r>
      <w:r w:rsidR="00660856">
        <w:t>lie indéfectiblement la procédure d</w:t>
      </w:r>
      <w:r w:rsidR="00C46822">
        <w:t>’</w:t>
      </w:r>
      <w:r w:rsidR="00660856">
        <w:t>adoption et la nature de l</w:t>
      </w:r>
      <w:r w:rsidR="00C46822">
        <w:t>’</w:t>
      </w:r>
      <w:r w:rsidR="00660856">
        <w:t>acte : « </w:t>
      </w:r>
      <w:r w:rsidR="00660856" w:rsidRPr="00660856">
        <w:t>Les actes juridiques adoptés par procédure législative constituent des actes législatifs</w:t>
      </w:r>
      <w:r w:rsidR="00660856">
        <w:t> »</w:t>
      </w:r>
      <w:r w:rsidR="00660856" w:rsidRPr="00660856">
        <w:t>.</w:t>
      </w:r>
      <w:r w:rsidR="00660856">
        <w:t xml:space="preserve"> Il s</w:t>
      </w:r>
      <w:r w:rsidR="00C46822">
        <w:t>’</w:t>
      </w:r>
      <w:r w:rsidR="00660856">
        <w:t>ensuit que les mesures spécifiques issus d</w:t>
      </w:r>
      <w:r w:rsidR="00C46822">
        <w:t>’</w:t>
      </w:r>
      <w:r w:rsidR="00660856">
        <w:t>une procédure législative, sont des actes législatif</w:t>
      </w:r>
      <w:r w:rsidR="00341CB8">
        <w:t>s</w:t>
      </w:r>
      <w:r w:rsidR="00660856">
        <w:t>. Enfin et troisièmement,</w:t>
      </w:r>
      <w:r w:rsidR="00A010E2">
        <w:t xml:space="preserve"> si l</w:t>
      </w:r>
      <w:r w:rsidR="00C46822">
        <w:t>’</w:t>
      </w:r>
      <w:r w:rsidR="00660856">
        <w:t>ajout a</w:t>
      </w:r>
      <w:r w:rsidR="00A010E2">
        <w:t xml:space="preserve"> vraisemblablement pour fonction d</w:t>
      </w:r>
      <w:r w:rsidR="00C46822">
        <w:t>’</w:t>
      </w:r>
      <w:r w:rsidR="00A010E2">
        <w:t>assurer une adaptation à la majorité qualifiée pour des procédures (approbation et consultation), spéciales en raison de l</w:t>
      </w:r>
      <w:r w:rsidR="00C46822">
        <w:t>’</w:t>
      </w:r>
      <w:r w:rsidR="00A010E2">
        <w:t>unanimité les caractérisant, le sort de la procédure législative ordinaire ne semble pas réglé.</w:t>
      </w:r>
      <w:r w:rsidR="00094A8A">
        <w:t xml:space="preserve"> Ainsi plus qu</w:t>
      </w:r>
      <w:r w:rsidR="00C46822">
        <w:t>’</w:t>
      </w:r>
      <w:r w:rsidR="00094A8A">
        <w:t>une clarification, la précision</w:t>
      </w:r>
      <w:r w:rsidR="00323192" w:rsidRPr="00323192">
        <w:rPr>
          <w:rFonts w:eastAsia="Times New Roman"/>
        </w:rPr>
        <w:t xml:space="preserve"> </w:t>
      </w:r>
      <w:r w:rsidR="00660856">
        <w:rPr>
          <w:rFonts w:eastAsia="Times New Roman"/>
        </w:rPr>
        <w:t>apportée par la dernière phrase de l</w:t>
      </w:r>
      <w:r w:rsidR="00C46822">
        <w:rPr>
          <w:rFonts w:eastAsia="Times New Roman"/>
        </w:rPr>
        <w:t>’</w:t>
      </w:r>
      <w:r w:rsidR="00660856">
        <w:rPr>
          <w:rFonts w:eastAsia="Times New Roman"/>
        </w:rPr>
        <w:t>alinéa 1 de l</w:t>
      </w:r>
      <w:r w:rsidR="00C46822">
        <w:rPr>
          <w:rFonts w:eastAsia="Times New Roman"/>
        </w:rPr>
        <w:t>’</w:t>
      </w:r>
      <w:r w:rsidR="00660856">
        <w:rPr>
          <w:rFonts w:eastAsia="Times New Roman"/>
        </w:rPr>
        <w:t xml:space="preserve">article 349 TFUE </w:t>
      </w:r>
      <w:r w:rsidR="00323192">
        <w:rPr>
          <w:rFonts w:eastAsia="Times New Roman"/>
        </w:rPr>
        <w:t>« </w:t>
      </w:r>
      <w:r w:rsidR="00323192" w:rsidRPr="00323192">
        <w:t>a malheureusement rendu l</w:t>
      </w:r>
      <w:r w:rsidR="00C46822">
        <w:t>’</w:t>
      </w:r>
      <w:r w:rsidR="00323192" w:rsidRPr="00323192">
        <w:t>eau trouble</w:t>
      </w:r>
      <w:r w:rsidR="00323192">
        <w:t> »</w:t>
      </w:r>
      <w:r w:rsidR="00323192">
        <w:rPr>
          <w:rStyle w:val="Marquenotebasdepage"/>
        </w:rPr>
        <w:footnoteReference w:id="81"/>
      </w:r>
      <w:r w:rsidR="004843DD">
        <w:t>.</w:t>
      </w:r>
    </w:p>
    <w:p w14:paraId="512402F9" w14:textId="77777777" w:rsidR="00A010E2" w:rsidRDefault="00A010E2" w:rsidP="007D6415">
      <w:pPr>
        <w:spacing w:line="276" w:lineRule="auto"/>
        <w:jc w:val="both"/>
      </w:pPr>
    </w:p>
    <w:p w14:paraId="31EBE7B8" w14:textId="22A95710" w:rsidR="000C466A" w:rsidRDefault="005C65DC" w:rsidP="000C466A">
      <w:pPr>
        <w:spacing w:line="276" w:lineRule="auto"/>
        <w:jc w:val="both"/>
      </w:pPr>
      <w:r>
        <w:tab/>
      </w:r>
      <w:r w:rsidR="009F4C56">
        <w:t>Toutefois, et d</w:t>
      </w:r>
      <w:r>
        <w:t xml:space="preserve">e prime abord, le traité de Lisbonne conforte la position du Conseil </w:t>
      </w:r>
      <w:r w:rsidR="00BD6507">
        <w:t>impliquant une différenciation valant aussi bien pour le droit primaire que pour le droit dérivé contrairement à la</w:t>
      </w:r>
      <w:r w:rsidR="00A0505B">
        <w:t xml:space="preserve"> position d</w:t>
      </w:r>
      <w:r w:rsidR="000C466A">
        <w:t>éfendu</w:t>
      </w:r>
      <w:r w:rsidR="00A0505B">
        <w:t>e</w:t>
      </w:r>
      <w:r w:rsidR="000C466A">
        <w:t xml:space="preserve"> par la</w:t>
      </w:r>
      <w:r w:rsidR="00BD6507">
        <w:t xml:space="preserve"> Commission</w:t>
      </w:r>
      <w:r w:rsidR="00B607F3">
        <w:t xml:space="preserve">. </w:t>
      </w:r>
      <w:r w:rsidR="00DB47E0">
        <w:t>Le changement statutaire de Mayott</w:t>
      </w:r>
      <w:r w:rsidR="00E6283D">
        <w:t>e</w:t>
      </w:r>
      <w:r w:rsidR="00DB47E0">
        <w:t xml:space="preserve"> </w:t>
      </w:r>
      <w:r w:rsidR="00E6283D">
        <w:t>créé les conditions idéales permettant</w:t>
      </w:r>
      <w:r w:rsidR="00A22042">
        <w:t xml:space="preserve"> à la Cour de justice </w:t>
      </w:r>
      <w:r w:rsidR="00B607F3">
        <w:t>de clarifier la portée de l</w:t>
      </w:r>
      <w:r w:rsidR="00C46822">
        <w:t>’</w:t>
      </w:r>
      <w:r w:rsidR="00DB47E0">
        <w:t>article</w:t>
      </w:r>
      <w:r w:rsidR="00A0505B">
        <w:t xml:space="preserve"> 349 TFUE </w:t>
      </w:r>
      <w:r w:rsidR="00E6283D">
        <w:t xml:space="preserve">dans la mesure où il </w:t>
      </w:r>
      <w:r w:rsidR="00A0505B">
        <w:t xml:space="preserve">entraine </w:t>
      </w:r>
      <w:r w:rsidR="00E6283D">
        <w:t>l</w:t>
      </w:r>
      <w:r w:rsidR="00C46822">
        <w:t>’</w:t>
      </w:r>
      <w:r w:rsidR="00A0505B">
        <w:t>adoption d</w:t>
      </w:r>
      <w:r w:rsidR="00C46822">
        <w:t>’</w:t>
      </w:r>
      <w:r w:rsidR="00A0505B">
        <w:t xml:space="preserve">un ensemble de </w:t>
      </w:r>
      <w:r w:rsidR="00E6283D">
        <w:t>mesures spécifiques intéressant le droit dérivé.</w:t>
      </w:r>
      <w:r w:rsidR="00A97570">
        <w:t xml:space="preserve"> </w:t>
      </w:r>
      <w:r w:rsidR="002A0EE9">
        <w:t>Le contentieux qu</w:t>
      </w:r>
      <w:r w:rsidR="00C46822">
        <w:t>’</w:t>
      </w:r>
      <w:r w:rsidR="002A0EE9">
        <w:t xml:space="preserve">il génère au cœur </w:t>
      </w:r>
      <w:r w:rsidR="009F4C56">
        <w:t xml:space="preserve">de </w:t>
      </w:r>
      <w:r w:rsidR="002A0EE9">
        <w:t>l</w:t>
      </w:r>
      <w:r w:rsidR="00C46822">
        <w:t>’</w:t>
      </w:r>
      <w:r w:rsidR="002A0EE9">
        <w:t>arrêt rendu le 15 décembre 2015</w:t>
      </w:r>
      <w:r w:rsidR="002A0EE9">
        <w:rPr>
          <w:rStyle w:val="Marquenotebasdepage"/>
        </w:rPr>
        <w:footnoteReference w:id="82"/>
      </w:r>
      <w:r w:rsidR="00504036">
        <w:t xml:space="preserve"> arrive même à point nommé pour ceux </w:t>
      </w:r>
      <w:r w:rsidR="00A22042">
        <w:t>se demandant « </w:t>
      </w:r>
      <w:r w:rsidR="00A22042" w:rsidRPr="00A22042">
        <w:t>si ce texte ne se heurte pas à un certain nombre de</w:t>
      </w:r>
      <w:r w:rsidR="00A22042">
        <w:t xml:space="preserve"> </w:t>
      </w:r>
      <w:r w:rsidR="00A22042" w:rsidRPr="00A22042">
        <w:t>prétextes juridiques, qui en faussent et en perturbent la fonction et l</w:t>
      </w:r>
      <w:r w:rsidR="00C46822">
        <w:t>’</w:t>
      </w:r>
      <w:r w:rsidR="00A22042" w:rsidRPr="00A22042">
        <w:t>application</w:t>
      </w:r>
      <w:r w:rsidR="00A22042">
        <w:t> »</w:t>
      </w:r>
      <w:r w:rsidR="00A22042">
        <w:rPr>
          <w:rStyle w:val="Marquenotebasdepage"/>
        </w:rPr>
        <w:footnoteReference w:id="83"/>
      </w:r>
      <w:r w:rsidR="00A22042" w:rsidRPr="00A22042">
        <w:t>.</w:t>
      </w:r>
      <w:r w:rsidR="000C466A">
        <w:t xml:space="preserve"> </w:t>
      </w:r>
      <w:r w:rsidR="000C3D8A">
        <w:t>Suivant le</w:t>
      </w:r>
      <w:r w:rsidR="00A97570">
        <w:t xml:space="preserve">s conceptions précédemment exposées, la Commission privilégie </w:t>
      </w:r>
      <w:r w:rsidR="009C0B49">
        <w:t xml:space="preserve">des bases juridiques </w:t>
      </w:r>
      <w:r w:rsidR="00D569F1">
        <w:t>propres aux matières concernées</w:t>
      </w:r>
      <w:r w:rsidR="009F4C56">
        <w:t xml:space="preserve"> pa</w:t>
      </w:r>
      <w:r w:rsidR="00A0505B">
        <w:t>r l</w:t>
      </w:r>
      <w:r w:rsidR="00C46822">
        <w:t>’</w:t>
      </w:r>
      <w:r w:rsidR="00A0505B">
        <w:t>exception-adaptation du droit dérivé</w:t>
      </w:r>
      <w:r w:rsidR="00D569F1">
        <w:t>, dont la PAC, tandis que le Conseil entend se fonder sur l</w:t>
      </w:r>
      <w:r w:rsidR="00C46822">
        <w:t>’</w:t>
      </w:r>
      <w:r w:rsidR="00D569F1">
        <w:t xml:space="preserve">article 349 TFUE. </w:t>
      </w:r>
      <w:r w:rsidR="009F4C56">
        <w:t>De son côté,</w:t>
      </w:r>
      <w:r w:rsidR="00A0505B">
        <w:t xml:space="preserve"> le Parlement européen refuse le choix de l</w:t>
      </w:r>
      <w:r w:rsidR="00C46822">
        <w:t>’</w:t>
      </w:r>
      <w:r w:rsidR="00A0505B">
        <w:t>exclusivité de ce fondement dans la mesure où il se traduit par une forte diminution de son r</w:t>
      </w:r>
      <w:r w:rsidR="000C466A">
        <w:t>ôle dans le processus normatif.</w:t>
      </w:r>
    </w:p>
    <w:p w14:paraId="2AF87BE7" w14:textId="77777777" w:rsidR="000C466A" w:rsidRDefault="000C466A" w:rsidP="000C466A">
      <w:pPr>
        <w:spacing w:line="276" w:lineRule="auto"/>
        <w:jc w:val="both"/>
      </w:pPr>
    </w:p>
    <w:p w14:paraId="77278C35" w14:textId="5808B1AE" w:rsidR="00F45A4F" w:rsidRDefault="000C466A" w:rsidP="00F45A4F">
      <w:pPr>
        <w:spacing w:line="276" w:lineRule="auto"/>
        <w:jc w:val="both"/>
      </w:pPr>
      <w:r>
        <w:tab/>
      </w:r>
      <w:r w:rsidR="00D569F1">
        <w:t>Face aux prétentions des partie</w:t>
      </w:r>
      <w:r w:rsidR="00A0505B">
        <w:t>s,</w:t>
      </w:r>
      <w:r w:rsidR="00D569F1">
        <w:t xml:space="preserve"> </w:t>
      </w:r>
      <w:r>
        <w:t>la Cour de justice étend la diffusion du statut des RUP au terme d</w:t>
      </w:r>
      <w:r w:rsidR="00C46822">
        <w:t>’</w:t>
      </w:r>
      <w:r>
        <w:t>un triple mouvement. Tout d</w:t>
      </w:r>
      <w:r w:rsidR="00C46822">
        <w:t>’</w:t>
      </w:r>
      <w:r>
        <w:t xml:space="preserve">abord, comme </w:t>
      </w:r>
      <w:r w:rsidR="00C02E8B">
        <w:t>il fallait s</w:t>
      </w:r>
      <w:r w:rsidR="00C46822">
        <w:t>’</w:t>
      </w:r>
      <w:r w:rsidR="00C02E8B">
        <w:t>y attendre</w:t>
      </w:r>
      <w:r w:rsidR="00AA0194">
        <w:rPr>
          <w:rStyle w:val="Marquenotebasdepage"/>
        </w:rPr>
        <w:footnoteReference w:id="84"/>
      </w:r>
      <w:r>
        <w:t>,</w:t>
      </w:r>
      <w:r w:rsidR="00C02E8B">
        <w:t xml:space="preserve"> </w:t>
      </w:r>
      <w:r w:rsidR="004040B1">
        <w:t>la distinction opérée par la Commission entre droit primaire et droit dérivé n</w:t>
      </w:r>
      <w:r w:rsidR="00C46822">
        <w:t>’</w:t>
      </w:r>
      <w:r w:rsidR="004040B1">
        <w:t xml:space="preserve">est pas recevable, </w:t>
      </w:r>
      <w:r w:rsidR="00F45A4F">
        <w:t>il convient selon la Cour « </w:t>
      </w:r>
      <w:r w:rsidR="00F45A4F" w:rsidRPr="00F45A4F">
        <w:t xml:space="preserve">de souligner </w:t>
      </w:r>
      <w:r w:rsidR="00F45A4F">
        <w:t>que les ”</w:t>
      </w:r>
      <w:r w:rsidR="00F45A4F" w:rsidRPr="00F45A4F">
        <w:t>conditio</w:t>
      </w:r>
      <w:r w:rsidR="00F45A4F">
        <w:t>ns de l</w:t>
      </w:r>
      <w:r w:rsidR="00C46822">
        <w:t>’</w:t>
      </w:r>
      <w:r w:rsidR="00F45A4F">
        <w:t>application des traités”</w:t>
      </w:r>
      <w:r w:rsidR="00F45A4F" w:rsidRPr="00F45A4F">
        <w:t xml:space="preserve">, au sens de cet article, doivent être </w:t>
      </w:r>
      <w:r w:rsidR="00F45A4F" w:rsidRPr="00F45A4F">
        <w:lastRenderedPageBreak/>
        <w:t>comprises comme couvrant à la fois les conditions relatives à l</w:t>
      </w:r>
      <w:r w:rsidR="00C46822">
        <w:t>’</w:t>
      </w:r>
      <w:r w:rsidR="00F45A4F" w:rsidRPr="00F45A4F">
        <w:t>application du droit primaire de l</w:t>
      </w:r>
      <w:r w:rsidR="00C46822">
        <w:t>’</w:t>
      </w:r>
      <w:r w:rsidR="00F45A4F" w:rsidRPr="00F45A4F">
        <w:t>Union et celles relatives à l</w:t>
      </w:r>
      <w:r w:rsidR="00C46822">
        <w:t>’</w:t>
      </w:r>
      <w:r w:rsidR="00F45A4F" w:rsidRPr="00F45A4F">
        <w:t>application des actes de droit dérivé adoptés sur le fondement de ce droit primaire</w:t>
      </w:r>
      <w:r w:rsidR="00F45A4F">
        <w:t> »</w:t>
      </w:r>
      <w:r w:rsidR="00F45A4F">
        <w:rPr>
          <w:rStyle w:val="Marquenotebasdepage"/>
        </w:rPr>
        <w:footnoteReference w:id="85"/>
      </w:r>
      <w:r w:rsidR="00F45A4F" w:rsidRPr="00F45A4F">
        <w:t>.</w:t>
      </w:r>
      <w:r w:rsidR="003244DE">
        <w:t xml:space="preserve"> En</w:t>
      </w:r>
      <w:r w:rsidR="00ED70DA">
        <w:t xml:space="preserve"> conséquence, l</w:t>
      </w:r>
      <w:r w:rsidR="00C46822">
        <w:t>’</w:t>
      </w:r>
      <w:r w:rsidR="00ED70DA">
        <w:t>adaptation du droit dérivé peu</w:t>
      </w:r>
      <w:r w:rsidR="00927811">
        <w:t>t</w:t>
      </w:r>
      <w:r w:rsidR="00ED70DA">
        <w:t xml:space="preserve"> se faire suivant la procédure prévue à l</w:t>
      </w:r>
      <w:r w:rsidR="00C46822">
        <w:t>’</w:t>
      </w:r>
      <w:r w:rsidR="00ED70DA">
        <w:t>article 3</w:t>
      </w:r>
      <w:r w:rsidR="00945E9F">
        <w:t xml:space="preserve">49 TFUE, à savoir </w:t>
      </w:r>
      <w:r w:rsidR="00927811">
        <w:t xml:space="preserve">par le Conseil </w:t>
      </w:r>
      <w:r w:rsidR="00945E9F">
        <w:t xml:space="preserve">à la majorité qualifiée après </w:t>
      </w:r>
      <w:r w:rsidR="00614397">
        <w:t>avoir consulté le Parlement européen quand bien même la législation initiale aurait été l</w:t>
      </w:r>
      <w:r w:rsidR="00C46822">
        <w:t>’</w:t>
      </w:r>
      <w:r w:rsidR="00614397">
        <w:t>œuvre conjointe des deux suivant l</w:t>
      </w:r>
      <w:r w:rsidR="00C46822">
        <w:t>’</w:t>
      </w:r>
      <w:r w:rsidR="000C3D8A">
        <w:t>article 289</w:t>
      </w:r>
      <w:r w:rsidR="00FA5089">
        <w:t xml:space="preserve"> § 1 </w:t>
      </w:r>
      <w:r w:rsidR="00614397">
        <w:t>TFUE.</w:t>
      </w:r>
      <w:r>
        <w:t xml:space="preserve"> Cette solution a</w:t>
      </w:r>
      <w:r w:rsidR="00553948">
        <w:t xml:space="preserve"> pour elle la simplicité </w:t>
      </w:r>
      <w:r w:rsidR="0054263B">
        <w:t>quant à</w:t>
      </w:r>
      <w:r w:rsidR="00553948">
        <w:t xml:space="preserve"> l</w:t>
      </w:r>
      <w:r w:rsidR="00C46822">
        <w:t>’</w:t>
      </w:r>
      <w:r w:rsidR="00553948">
        <w:t xml:space="preserve">adaptation </w:t>
      </w:r>
      <w:r w:rsidR="0054263B">
        <w:t>d</w:t>
      </w:r>
      <w:r w:rsidR="00C46822">
        <w:t>’</w:t>
      </w:r>
      <w:r w:rsidR="0054263B">
        <w:t>u</w:t>
      </w:r>
      <w:r w:rsidR="00AA0194">
        <w:t>n</w:t>
      </w:r>
      <w:r w:rsidR="0054263B">
        <w:t xml:space="preserve"> droit dérivé formé d</w:t>
      </w:r>
      <w:r w:rsidR="00C46822">
        <w:t>’</w:t>
      </w:r>
      <w:r w:rsidR="0054263B">
        <w:t xml:space="preserve">actes </w:t>
      </w:r>
      <w:r w:rsidR="00AA0194">
        <w:t>concernant</w:t>
      </w:r>
      <w:r w:rsidR="0054263B">
        <w:t xml:space="preserve"> plusieurs secteurs</w:t>
      </w:r>
      <w:r w:rsidR="002F61CC">
        <w:t>.</w:t>
      </w:r>
    </w:p>
    <w:p w14:paraId="55E34824" w14:textId="77777777" w:rsidR="002F61CC" w:rsidRDefault="002F61CC" w:rsidP="00F45A4F">
      <w:pPr>
        <w:spacing w:line="276" w:lineRule="auto"/>
        <w:jc w:val="both"/>
      </w:pPr>
    </w:p>
    <w:p w14:paraId="0BCA746A" w14:textId="444373F0" w:rsidR="00AE664A" w:rsidRPr="00F45A4F" w:rsidRDefault="000C466A" w:rsidP="00F45A4F">
      <w:pPr>
        <w:spacing w:line="276" w:lineRule="auto"/>
        <w:jc w:val="both"/>
      </w:pPr>
      <w:r>
        <w:tab/>
        <w:t>Ensuite</w:t>
      </w:r>
      <w:r w:rsidR="002F61CC">
        <w:t>, l</w:t>
      </w:r>
      <w:r w:rsidR="00C46822">
        <w:t>’</w:t>
      </w:r>
      <w:r w:rsidR="002F61CC">
        <w:t>interpréta</w:t>
      </w:r>
      <w:r w:rsidR="00AA0194">
        <w:t>tion de la Cour de justice assure une large ouverture au</w:t>
      </w:r>
      <w:r w:rsidR="00AE664A">
        <w:t xml:space="preserve"> recours à l</w:t>
      </w:r>
      <w:r w:rsidR="00C46822">
        <w:t>’</w:t>
      </w:r>
      <w:r w:rsidR="00AE664A">
        <w:t>article 349 TFUE en n</w:t>
      </w:r>
      <w:r w:rsidR="00C46822">
        <w:t>’</w:t>
      </w:r>
      <w:r w:rsidR="00AE664A">
        <w:t>exigeant pas</w:t>
      </w:r>
      <w:r w:rsidR="000C3D8A">
        <w:t>,</w:t>
      </w:r>
      <w:r w:rsidR="00AE664A">
        <w:t xml:space="preserve"> contrairement à ce que soutenait Parlement européen</w:t>
      </w:r>
      <w:r w:rsidR="000C3D8A">
        <w:t>,</w:t>
      </w:r>
      <w:r w:rsidR="00AE664A">
        <w:t xml:space="preserve"> que les mesures spécifiques soit</w:t>
      </w:r>
      <w:r w:rsidR="00AE664A" w:rsidRPr="00AE664A">
        <w:t xml:space="preserve"> justifiée</w:t>
      </w:r>
      <w:r w:rsidR="00AE664A">
        <w:t>s</w:t>
      </w:r>
      <w:r w:rsidR="00AE664A" w:rsidRPr="00AE664A">
        <w:t xml:space="preserve"> </w:t>
      </w:r>
      <w:r w:rsidR="00AE664A">
        <w:t>« </w:t>
      </w:r>
      <w:r w:rsidR="00AE664A" w:rsidRPr="00AE664A">
        <w:t>non seulement par la situation économique et sociale structurelle de la région ultrapériphérique concernée, mais aussi par l</w:t>
      </w:r>
      <w:r w:rsidR="00C46822">
        <w:t>’</w:t>
      </w:r>
      <w:r w:rsidR="00AE664A" w:rsidRPr="00AE664A">
        <w:t>existence de l</w:t>
      </w:r>
      <w:r w:rsidR="00C46822">
        <w:t>’</w:t>
      </w:r>
      <w:r w:rsidR="00AE664A" w:rsidRPr="00AE664A">
        <w:t>un au moins des facteurs énumérés limitativement à l</w:t>
      </w:r>
      <w:r w:rsidR="00C46822">
        <w:t>’</w:t>
      </w:r>
      <w:r w:rsidR="00AE664A" w:rsidRPr="00AE664A">
        <w:t>article 349, premier alinéa, TFUE, propres à cette région</w:t>
      </w:r>
      <w:r w:rsidR="00AE664A">
        <w:t> »</w:t>
      </w:r>
      <w:r>
        <w:t xml:space="preserve">. Selon sa jurisprudence </w:t>
      </w:r>
      <w:r w:rsidR="00AE664A">
        <w:t>« </w:t>
      </w:r>
      <w:r w:rsidR="00AE664A" w:rsidRPr="00AE664A">
        <w:t>un lien de rattachement de la mesure spécifique envisagée avec des caractéristiques et contraintes particulières de la région ultrapériphérique en cause</w:t>
      </w:r>
      <w:r w:rsidR="00AE664A">
        <w:t> » suffit</w:t>
      </w:r>
      <w:r w:rsidR="00AE664A">
        <w:rPr>
          <w:rStyle w:val="Marquenotebasdepage"/>
        </w:rPr>
        <w:footnoteReference w:id="86"/>
      </w:r>
      <w:r w:rsidR="00AE664A">
        <w:t>.</w:t>
      </w:r>
      <w:r>
        <w:t xml:space="preserve"> Enfin</w:t>
      </w:r>
      <w:r w:rsidR="005E4125">
        <w:t>, les mesures d</w:t>
      </w:r>
      <w:r w:rsidR="00C46822">
        <w:t>’</w:t>
      </w:r>
      <w:r w:rsidR="005E4125">
        <w:t xml:space="preserve">adaptation ne se bornent pas </w:t>
      </w:r>
      <w:r w:rsidR="00FD0873">
        <w:t>à prendre en compte « la situation économique et sociale structurelle », mais peuvent aussi porter sur d</w:t>
      </w:r>
      <w:r w:rsidR="00C46822">
        <w:t>’</w:t>
      </w:r>
      <w:r w:rsidR="00FD0873">
        <w:t>autres champs comme l</w:t>
      </w:r>
      <w:r w:rsidR="00C46822">
        <w:t>’</w:t>
      </w:r>
      <w:r w:rsidR="00FD0873">
        <w:t>environnement</w:t>
      </w:r>
      <w:r w:rsidR="00FD0873">
        <w:rPr>
          <w:rStyle w:val="Marquenotebasdepage"/>
        </w:rPr>
        <w:footnoteReference w:id="87"/>
      </w:r>
      <w:r w:rsidR="00FD0873">
        <w:t>.</w:t>
      </w:r>
    </w:p>
    <w:p w14:paraId="2DF7A8D0" w14:textId="596AB413" w:rsidR="007D6415" w:rsidRDefault="007D6415" w:rsidP="007D6415">
      <w:pPr>
        <w:spacing w:line="276" w:lineRule="auto"/>
        <w:jc w:val="both"/>
      </w:pPr>
    </w:p>
    <w:p w14:paraId="771544E5" w14:textId="6C222ACE" w:rsidR="003D25CC" w:rsidRDefault="003D25CC" w:rsidP="007D6415">
      <w:pPr>
        <w:spacing w:line="276" w:lineRule="auto"/>
        <w:jc w:val="both"/>
      </w:pPr>
      <w:r>
        <w:tab/>
        <w:t>Les possibilités élargies de mise en oeuvre de l</w:t>
      </w:r>
      <w:r w:rsidR="00C46822">
        <w:t>’</w:t>
      </w:r>
      <w:r>
        <w:t>article 349 TFUE participent de la consolidation du statut des RUP, est-elle pour autant annonciatrice de sa généralisation </w:t>
      </w:r>
      <w:r w:rsidR="003B18F3">
        <w:t xml:space="preserve">dans un environnement procédural apuré </w:t>
      </w:r>
      <w:r>
        <w:t>?</w:t>
      </w:r>
    </w:p>
    <w:p w14:paraId="0600FC8E" w14:textId="77777777" w:rsidR="003D25CC" w:rsidRPr="007D6415" w:rsidRDefault="003D25CC" w:rsidP="007D6415">
      <w:pPr>
        <w:spacing w:line="276" w:lineRule="auto"/>
        <w:jc w:val="both"/>
      </w:pPr>
    </w:p>
    <w:p w14:paraId="0E561089" w14:textId="730A0D15" w:rsidR="003B18F3" w:rsidRDefault="00945E9F" w:rsidP="00640299">
      <w:pPr>
        <w:spacing w:line="276" w:lineRule="auto"/>
        <w:jc w:val="both"/>
      </w:pPr>
      <w:bookmarkStart w:id="4" w:name="ABSid1290343"/>
      <w:bookmarkEnd w:id="4"/>
      <w:r>
        <w:t xml:space="preserve">B) </w:t>
      </w:r>
      <w:r w:rsidR="003B18F3">
        <w:t>Le trouble procédural d</w:t>
      </w:r>
      <w:r w:rsidR="00C46822">
        <w:t>’</w:t>
      </w:r>
      <w:r w:rsidR="003B18F3">
        <w:t xml:space="preserve">une </w:t>
      </w:r>
      <w:r>
        <w:t>exception</w:t>
      </w:r>
      <w:r w:rsidR="003B18F3">
        <w:t>-adaptation</w:t>
      </w:r>
      <w:r>
        <w:t xml:space="preserve"> </w:t>
      </w:r>
      <w:r w:rsidR="003B18F3">
        <w:t>en quête de généralisation</w:t>
      </w:r>
    </w:p>
    <w:p w14:paraId="3F48733E" w14:textId="77777777" w:rsidR="00945E9F" w:rsidRDefault="00945E9F" w:rsidP="00640299">
      <w:pPr>
        <w:spacing w:line="276" w:lineRule="auto"/>
        <w:jc w:val="both"/>
      </w:pPr>
    </w:p>
    <w:p w14:paraId="4B73F50C" w14:textId="731F703F" w:rsidR="009F3E42" w:rsidRDefault="00FA5089" w:rsidP="00640299">
      <w:pPr>
        <w:spacing w:line="276" w:lineRule="auto"/>
        <w:jc w:val="both"/>
      </w:pPr>
      <w:r>
        <w:tab/>
      </w:r>
      <w:r w:rsidR="008501D7">
        <w:t>Naturellement la querelle de la base juridique renvoie à des enjeux institutionnels quant à la procédure applicable, procédure législative ordinaire ou spéciale</w:t>
      </w:r>
      <w:r w:rsidR="00D77B3D">
        <w:t>. Or,</w:t>
      </w:r>
      <w:r>
        <w:t xml:space="preserve"> de toute évidence</w:t>
      </w:r>
      <w:r w:rsidR="008E3339">
        <w:t>, le couplage de</w:t>
      </w:r>
      <w:r>
        <w:t xml:space="preserve"> la procédure de codécision à la majorité qualifiée </w:t>
      </w:r>
      <w:r w:rsidR="008E3339">
        <w:t xml:space="preserve">par </w:t>
      </w:r>
      <w:r>
        <w:t>le traité de Lisbonne</w:t>
      </w:r>
      <w:r w:rsidR="008E3339">
        <w:t>,</w:t>
      </w:r>
      <w:r>
        <w:t xml:space="preserve"> sans assécher</w:t>
      </w:r>
      <w:r w:rsidR="008E3339">
        <w:t xml:space="preserve"> c</w:t>
      </w:r>
      <w:r>
        <w:t>e contentieux, en diminue l</w:t>
      </w:r>
      <w:r w:rsidR="00C46822">
        <w:t>’</w:t>
      </w:r>
      <w:r>
        <w:t xml:space="preserve">assiette. </w:t>
      </w:r>
      <w:r w:rsidR="001414E4">
        <w:t xml:space="preserve">Il reste que </w:t>
      </w:r>
      <w:r w:rsidR="001B3F31">
        <w:t xml:space="preserve">le repli parlementaire causé par </w:t>
      </w:r>
      <w:r w:rsidR="001414E4">
        <w:t xml:space="preserve">la solution de la Cour de justice </w:t>
      </w:r>
      <w:r w:rsidR="008E3339">
        <w:t xml:space="preserve">est </w:t>
      </w:r>
      <w:r w:rsidR="001414E4">
        <w:t>à rebours de la tendance générale suivie par les révisions des traités depuis l</w:t>
      </w:r>
      <w:r w:rsidR="00C46822">
        <w:t>’</w:t>
      </w:r>
      <w:r w:rsidR="001414E4">
        <w:t>Acte unique</w:t>
      </w:r>
      <w:r w:rsidR="009F3E42">
        <w:t>. Pour analyser son ampleur avec précision</w:t>
      </w:r>
      <w:r w:rsidR="008E3339">
        <w:t>,</w:t>
      </w:r>
      <w:r w:rsidR="009F3E42">
        <w:t xml:space="preserve"> il convient de revenir à la partie de l</w:t>
      </w:r>
      <w:r w:rsidR="00C46822">
        <w:t>’</w:t>
      </w:r>
      <w:r w:rsidR="009F3E42">
        <w:t>article 349 TFUE dont l</w:t>
      </w:r>
      <w:r w:rsidR="00C46822">
        <w:t>’</w:t>
      </w:r>
      <w:r w:rsidR="009F3E42">
        <w:t>appréciation a échappé au juge</w:t>
      </w:r>
      <w:r w:rsidR="008E3339">
        <w:t xml:space="preserve"> de l</w:t>
      </w:r>
      <w:r w:rsidR="00C46822">
        <w:t>’</w:t>
      </w:r>
      <w:r w:rsidR="008E3339">
        <w:t>Union</w:t>
      </w:r>
      <w:r w:rsidR="009F3E42">
        <w:t xml:space="preserve">. </w:t>
      </w:r>
    </w:p>
    <w:p w14:paraId="4449FAEB" w14:textId="77777777" w:rsidR="009F3E42" w:rsidRDefault="009F3E42" w:rsidP="00640299">
      <w:pPr>
        <w:spacing w:line="276" w:lineRule="auto"/>
        <w:jc w:val="both"/>
      </w:pPr>
    </w:p>
    <w:p w14:paraId="32B16929" w14:textId="593AE840" w:rsidR="008E3339" w:rsidRDefault="009F3E42" w:rsidP="00121814">
      <w:pPr>
        <w:spacing w:line="276" w:lineRule="auto"/>
        <w:ind w:firstLine="708"/>
        <w:jc w:val="both"/>
      </w:pPr>
      <w:r>
        <w:t xml:space="preserve">Du propre aveu </w:t>
      </w:r>
      <w:r w:rsidR="006C3D97">
        <w:t>de l</w:t>
      </w:r>
      <w:r w:rsidR="00C46822">
        <w:t>’</w:t>
      </w:r>
      <w:r w:rsidR="006C3D97">
        <w:t>avocat général, l</w:t>
      </w:r>
      <w:r w:rsidR="00C46822">
        <w:t>’</w:t>
      </w:r>
      <w:r w:rsidR="006C3D97">
        <w:t>eau troublée par le traité de Lisbonne attendra avant d</w:t>
      </w:r>
      <w:r w:rsidR="00C46822">
        <w:t>’</w:t>
      </w:r>
      <w:r w:rsidR="006C3D97">
        <w:t xml:space="preserve">être clarifiée, </w:t>
      </w:r>
      <w:r w:rsidR="00121814">
        <w:t xml:space="preserve">estimant que « dans </w:t>
      </w:r>
      <w:r w:rsidR="00121814" w:rsidRPr="006C3D97">
        <w:t>le cadre des présentes affaires jointes, il n</w:t>
      </w:r>
      <w:r w:rsidR="00C46822">
        <w:t>’</w:t>
      </w:r>
      <w:r w:rsidR="00121814" w:rsidRPr="006C3D97">
        <w:t>est pas nécessaire de trancher cette question de manière déterminante</w:t>
      </w:r>
      <w:r w:rsidR="00121814">
        <w:t> »</w:t>
      </w:r>
      <w:r w:rsidR="00121814" w:rsidRPr="006C3D97">
        <w:t>.</w:t>
      </w:r>
      <w:r w:rsidR="00121814">
        <w:t xml:space="preserve"> On peut objecter qu</w:t>
      </w:r>
      <w:r w:rsidR="00C46822">
        <w:t>’</w:t>
      </w:r>
      <w:r w:rsidR="00121814">
        <w:t>elle n</w:t>
      </w:r>
      <w:r w:rsidR="00C46822">
        <w:t>’</w:t>
      </w:r>
      <w:r w:rsidR="00121814">
        <w:t>est pas davantage tranchée</w:t>
      </w:r>
      <w:r w:rsidR="001B3F31">
        <w:t>, même de façon</w:t>
      </w:r>
      <w:r w:rsidR="00121814">
        <w:t xml:space="preserve"> non déterminante</w:t>
      </w:r>
      <w:r w:rsidR="001B3F31">
        <w:t>,</w:t>
      </w:r>
      <w:r w:rsidR="00121814">
        <w:t xml:space="preserve"> </w:t>
      </w:r>
      <w:r w:rsidR="008E3339">
        <w:t>puisqu</w:t>
      </w:r>
      <w:r w:rsidR="00C46822">
        <w:t>’</w:t>
      </w:r>
      <w:r w:rsidR="008E3339">
        <w:t>elle est tout bonnement occultée. Or,</w:t>
      </w:r>
      <w:r w:rsidR="00121814">
        <w:t xml:space="preserve"> pour reprendre l</w:t>
      </w:r>
      <w:r w:rsidR="00C46822">
        <w:t>’</w:t>
      </w:r>
      <w:r w:rsidR="00121814">
        <w:t>image</w:t>
      </w:r>
      <w:r w:rsidR="008E3339">
        <w:t xml:space="preserve"> magistrale</w:t>
      </w:r>
      <w:r w:rsidR="00121814">
        <w:t xml:space="preserve">, </w:t>
      </w:r>
      <w:r w:rsidR="001B3F31">
        <w:t xml:space="preserve">ne pas </w:t>
      </w:r>
      <w:r w:rsidR="006C3D97">
        <w:t xml:space="preserve">agiter </w:t>
      </w:r>
      <w:r w:rsidR="001B3F31">
        <w:t>l</w:t>
      </w:r>
      <w:r w:rsidR="00C46822">
        <w:t>’</w:t>
      </w:r>
      <w:r w:rsidR="001B3F31">
        <w:t xml:space="preserve">eau </w:t>
      </w:r>
      <w:r w:rsidR="006C3D97">
        <w:t xml:space="preserve">ne suffit pas </w:t>
      </w:r>
      <w:r w:rsidR="008E3308">
        <w:t xml:space="preserve">à </w:t>
      </w:r>
      <w:r w:rsidR="00121814">
        <w:t>en dissiper les ondes bien au con</w:t>
      </w:r>
      <w:r w:rsidR="008E3339">
        <w:t>traire. De son côté, l</w:t>
      </w:r>
      <w:r w:rsidR="00121814">
        <w:t>a doctrine s</w:t>
      </w:r>
      <w:r w:rsidR="00C46822">
        <w:t>’</w:t>
      </w:r>
      <w:r w:rsidR="00121814">
        <w:t>est interrogée sur « </w:t>
      </w:r>
      <w:r w:rsidR="00121814" w:rsidRPr="00121814">
        <w:t>la signification de la phrase bien sibylline ajoutée à l</w:t>
      </w:r>
      <w:r w:rsidR="00C46822">
        <w:t>’</w:t>
      </w:r>
      <w:r w:rsidR="00121814" w:rsidRPr="00121814">
        <w:t>alinéa 1</w:t>
      </w:r>
      <w:r w:rsidR="00121814" w:rsidRPr="00121814">
        <w:rPr>
          <w:vertAlign w:val="superscript"/>
        </w:rPr>
        <w:t>er</w:t>
      </w:r>
      <w:r w:rsidR="00121814">
        <w:t xml:space="preserve"> de cet article 349 »</w:t>
      </w:r>
      <w:r w:rsidR="00121814">
        <w:rPr>
          <w:rStyle w:val="Marquenotebasdepage"/>
        </w:rPr>
        <w:footnoteReference w:id="88"/>
      </w:r>
      <w:r w:rsidR="00A561CC">
        <w:t>, sans empor</w:t>
      </w:r>
      <w:r w:rsidR="008E3339">
        <w:t>ter véritablement la conviction ;</w:t>
      </w:r>
      <w:r w:rsidR="00A561CC">
        <w:t xml:space="preserve"> chaque auteur </w:t>
      </w:r>
      <w:r w:rsidR="006A06BA">
        <w:t xml:space="preserve">apportant des résultats propres en </w:t>
      </w:r>
      <w:r w:rsidR="00A561CC">
        <w:t>sollicitant des ressources éloignées les unes des autres</w:t>
      </w:r>
      <w:r w:rsidR="00A561CC">
        <w:rPr>
          <w:rStyle w:val="Marquenotebasdepage"/>
        </w:rPr>
        <w:footnoteReference w:id="89"/>
      </w:r>
      <w:r w:rsidR="008E3339">
        <w:t>.</w:t>
      </w:r>
    </w:p>
    <w:p w14:paraId="5D43E6A1" w14:textId="77777777" w:rsidR="008E3339" w:rsidRDefault="008E3339" w:rsidP="008E3339">
      <w:pPr>
        <w:spacing w:line="276" w:lineRule="auto"/>
        <w:jc w:val="both"/>
      </w:pPr>
    </w:p>
    <w:p w14:paraId="5A21CEA2" w14:textId="27DD3C5D" w:rsidR="00121814" w:rsidRDefault="00A561CC" w:rsidP="00121814">
      <w:pPr>
        <w:spacing w:line="276" w:lineRule="auto"/>
        <w:ind w:firstLine="708"/>
        <w:jc w:val="both"/>
      </w:pPr>
      <w:r>
        <w:lastRenderedPageBreak/>
        <w:t>Il es</w:t>
      </w:r>
      <w:r w:rsidR="008E3339">
        <w:t>t permis</w:t>
      </w:r>
      <w:r>
        <w:t xml:space="preserve"> </w:t>
      </w:r>
      <w:r w:rsidR="00E75153">
        <w:t>d</w:t>
      </w:r>
      <w:r w:rsidR="00C46822">
        <w:t>’</w:t>
      </w:r>
      <w:r w:rsidR="00E75153">
        <w:t>avancer que les rédacteurs des traités ont raisonné non à partir de l</w:t>
      </w:r>
      <w:r w:rsidR="00C46822">
        <w:t>’</w:t>
      </w:r>
      <w:r w:rsidR="00E75153">
        <w:t>opposition entre procédures législatives spéciales et ordinaire mais à l</w:t>
      </w:r>
      <w:r w:rsidR="00C46822">
        <w:t>’</w:t>
      </w:r>
      <w:r w:rsidR="00E75153">
        <w:t xml:space="preserve">intérieur de la </w:t>
      </w:r>
      <w:r w:rsidR="00E22F9B">
        <w:t>première catégorie.</w:t>
      </w:r>
      <w:r w:rsidR="00E75153">
        <w:t xml:space="preserve"> Dans la mesure où l</w:t>
      </w:r>
      <w:r w:rsidR="00C46822">
        <w:t>’</w:t>
      </w:r>
      <w:r w:rsidR="00E75153">
        <w:t>adoption d</w:t>
      </w:r>
      <w:r w:rsidR="00C46822">
        <w:t>’</w:t>
      </w:r>
      <w:r w:rsidR="00E75153">
        <w:t>une mesure par le Conseil après consultation du Parlement européen se fait à l</w:t>
      </w:r>
      <w:r w:rsidR="00C46822">
        <w:t>’</w:t>
      </w:r>
      <w:r w:rsidR="00E75153">
        <w:t>unanimité</w:t>
      </w:r>
      <w:r w:rsidR="006E7A61">
        <w:t>,</w:t>
      </w:r>
      <w:r w:rsidR="00E75153">
        <w:t xml:space="preserve"> la précision est destinée </w:t>
      </w:r>
      <w:r w:rsidR="00D41038">
        <w:t>à maintenir la majorité qualifiée</w:t>
      </w:r>
      <w:r w:rsidR="006E7A61">
        <w:t>,</w:t>
      </w:r>
      <w:r w:rsidR="00D41038">
        <w:t xml:space="preserve"> et surtout lorsque la procédure législative spéciale procède d</w:t>
      </w:r>
      <w:r w:rsidR="00C46822">
        <w:t>’</w:t>
      </w:r>
      <w:r w:rsidR="00AA7ECD">
        <w:t>une « codécision </w:t>
      </w:r>
      <w:r w:rsidR="00D41038">
        <w:t>passive »</w:t>
      </w:r>
      <w:r w:rsidR="00AA7ECD" w:rsidRPr="00AA7ECD">
        <w:rPr>
          <w:rStyle w:val="Marquenotebasdepage"/>
        </w:rPr>
        <w:t xml:space="preserve"> </w:t>
      </w:r>
      <w:r w:rsidR="00AA7ECD">
        <w:rPr>
          <w:rStyle w:val="Marquenotebasdepage"/>
        </w:rPr>
        <w:footnoteReference w:id="90"/>
      </w:r>
      <w:r w:rsidR="00D41038">
        <w:t xml:space="preserve">, </w:t>
      </w:r>
      <w:r w:rsidR="00E22F9B">
        <w:t>c</w:t>
      </w:r>
      <w:r w:rsidR="00C46822">
        <w:t>’</w:t>
      </w:r>
      <w:r w:rsidR="00E22F9B">
        <w:t xml:space="preserve">est-à-dire </w:t>
      </w:r>
      <w:r w:rsidR="00D41038">
        <w:t>lorsque l</w:t>
      </w:r>
      <w:r w:rsidR="00C46822">
        <w:t>’</w:t>
      </w:r>
      <w:r w:rsidR="00D41038">
        <w:t>approbation du Parlement européen est exigée, l</w:t>
      </w:r>
      <w:r w:rsidR="00C46822">
        <w:t>’</w:t>
      </w:r>
      <w:r w:rsidR="00D41038">
        <w:t>émission de son avis suffira. En d</w:t>
      </w:r>
      <w:r w:rsidR="00C46822">
        <w:t>’</w:t>
      </w:r>
      <w:r w:rsidR="00D41038">
        <w:t>autres termes, la précision apportée découle de l</w:t>
      </w:r>
      <w:r w:rsidR="00C46822">
        <w:t>’</w:t>
      </w:r>
      <w:r w:rsidR="00D41038">
        <w:t>introduction par le traité de Lisbonne de procédures législatives spéciales ne se cantonnant pas à la seule consultation du Parlement européen</w:t>
      </w:r>
      <w:r w:rsidR="00D41038" w:rsidRPr="00D41038">
        <w:t xml:space="preserve"> </w:t>
      </w:r>
      <w:r w:rsidR="00D41038">
        <w:t>et caractérisées par l</w:t>
      </w:r>
      <w:r w:rsidR="00C46822">
        <w:t>’</w:t>
      </w:r>
      <w:r w:rsidR="00D41038">
        <w:t>unanimité, là où suivant la forme prévue par l</w:t>
      </w:r>
      <w:r w:rsidR="00C46822">
        <w:t>’</w:t>
      </w:r>
      <w:r w:rsidR="00D41038">
        <w:t>article 299</w:t>
      </w:r>
      <w:r w:rsidR="00AA7ECD">
        <w:t>,</w:t>
      </w:r>
      <w:r w:rsidR="00D41038">
        <w:t xml:space="preserve"> § 2 </w:t>
      </w:r>
      <w:r w:rsidR="00C65558">
        <w:t xml:space="preserve">CE </w:t>
      </w:r>
      <w:r w:rsidR="00D41038">
        <w:t>la consultation était jointe à la majorité qualifiée. S</w:t>
      </w:r>
      <w:r w:rsidR="00A6006D">
        <w:t>i cette relation peut être un cadre d</w:t>
      </w:r>
      <w:r w:rsidR="00C46822">
        <w:t>’</w:t>
      </w:r>
      <w:r w:rsidR="00A6006D">
        <w:t>analyse commun, ses incidences sur la fonct</w:t>
      </w:r>
      <w:r w:rsidR="00BA358E">
        <w:t xml:space="preserve">ion parlementaire peuvent pareillement susciter une appréciation concordante : la mise en œuvre du statut des RUP </w:t>
      </w:r>
      <w:r w:rsidR="00A214FB">
        <w:t>traduit une exception procédurale limitant le rôle du Parlement e</w:t>
      </w:r>
      <w:r w:rsidR="00AA7ECD">
        <w:t>uropéen</w:t>
      </w:r>
      <w:r w:rsidR="00E22F9B">
        <w:t>.</w:t>
      </w:r>
    </w:p>
    <w:p w14:paraId="0BCABA5E" w14:textId="1E6D2B83" w:rsidR="00121814" w:rsidRPr="00121814" w:rsidRDefault="00121814" w:rsidP="00AA7ECD">
      <w:pPr>
        <w:spacing w:line="276" w:lineRule="auto"/>
        <w:jc w:val="both"/>
      </w:pPr>
    </w:p>
    <w:p w14:paraId="6BE200F4" w14:textId="5063BD50" w:rsidR="006C3D97" w:rsidRDefault="00AA7ECD" w:rsidP="009F3E42">
      <w:pPr>
        <w:spacing w:line="276" w:lineRule="auto"/>
        <w:ind w:firstLine="708"/>
        <w:jc w:val="both"/>
      </w:pPr>
      <w:r>
        <w:t>S</w:t>
      </w:r>
      <w:r w:rsidR="00C46822">
        <w:t>’</w:t>
      </w:r>
      <w:r w:rsidR="00B31F1B">
        <w:t xml:space="preserve">impose </w:t>
      </w:r>
      <w:r>
        <w:t xml:space="preserve">alors </w:t>
      </w:r>
      <w:r w:rsidR="00B31F1B">
        <w:t>l</w:t>
      </w:r>
      <w:r w:rsidR="00C46822">
        <w:t>’</w:t>
      </w:r>
      <w:r w:rsidR="00B31F1B">
        <w:t>idée selon laquelle le droit primaire</w:t>
      </w:r>
      <w:r>
        <w:t>,</w:t>
      </w:r>
      <w:r w:rsidR="00B31F1B">
        <w:t xml:space="preserve"> œuvre des Etats</w:t>
      </w:r>
      <w:r>
        <w:t>,</w:t>
      </w:r>
      <w:r w:rsidR="00B31F1B">
        <w:t xml:space="preserve"> est adapté par leurs représentants au sein du Conseil, la consultation parlementaire </w:t>
      </w:r>
      <w:r>
        <w:t>est ici</w:t>
      </w:r>
      <w:r w:rsidR="00B31F1B">
        <w:t xml:space="preserve"> </w:t>
      </w:r>
      <w:r>
        <w:t>le</w:t>
      </w:r>
      <w:r w:rsidR="00B31F1B">
        <w:t xml:space="preserve"> gage donné à la résorption du déficit démocratique, tand</w:t>
      </w:r>
      <w:r>
        <w:t>is que le droit dérivé, œuvre des institutions du</w:t>
      </w:r>
      <w:r w:rsidR="00B31F1B">
        <w:t xml:space="preserve"> triangle </w:t>
      </w:r>
      <w:r>
        <w:t>normatif</w:t>
      </w:r>
      <w:r w:rsidR="00B31F1B">
        <w:t>, s</w:t>
      </w:r>
      <w:r w:rsidR="00C46822">
        <w:t>’</w:t>
      </w:r>
      <w:r w:rsidR="00B31F1B">
        <w:t xml:space="preserve">accommode </w:t>
      </w:r>
      <w:r w:rsidR="00F71CB2">
        <w:t xml:space="preserve">mal </w:t>
      </w:r>
      <w:r w:rsidR="00B31F1B">
        <w:t>d</w:t>
      </w:r>
      <w:r w:rsidR="00C46822">
        <w:t>’</w:t>
      </w:r>
      <w:r w:rsidR="00B31F1B">
        <w:t xml:space="preserve">une adaptation aux formes allégées, </w:t>
      </w:r>
      <w:r w:rsidR="00F71CB2">
        <w:t>en raison</w:t>
      </w:r>
      <w:r w:rsidR="00B31F1B">
        <w:t xml:space="preserve"> d</w:t>
      </w:r>
      <w:r w:rsidR="00C46822">
        <w:t>’</w:t>
      </w:r>
      <w:r w:rsidR="00B31F1B">
        <w:t>une participation minimale du Parlement européen après qu</w:t>
      </w:r>
      <w:r w:rsidR="00C46822">
        <w:t>’</w:t>
      </w:r>
      <w:r w:rsidR="00B31F1B">
        <w:t xml:space="preserve">il ait pu endosser les habits de colégislateur </w:t>
      </w:r>
      <w:r w:rsidR="001826B2">
        <w:t>lors de l</w:t>
      </w:r>
      <w:r w:rsidR="00C46822">
        <w:t>’</w:t>
      </w:r>
      <w:r w:rsidR="001826B2">
        <w:t>élabora</w:t>
      </w:r>
      <w:r w:rsidR="00E22F9B">
        <w:t>tion précisément de la législation</w:t>
      </w:r>
      <w:r>
        <w:t>,</w:t>
      </w:r>
      <w:r w:rsidR="001826B2">
        <w:t xml:space="preserve"> objet de</w:t>
      </w:r>
      <w:r>
        <w:t xml:space="preserve"> l</w:t>
      </w:r>
      <w:r w:rsidR="00C46822">
        <w:t>’</w:t>
      </w:r>
      <w:r>
        <w:t>exception-adaptation</w:t>
      </w:r>
      <w:r w:rsidR="001826B2">
        <w:t xml:space="preserve">. </w:t>
      </w:r>
      <w:r w:rsidR="00F71CB2">
        <w:t>F</w:t>
      </w:r>
      <w:r w:rsidR="00553948">
        <w:t>aut-il considérer que dans ce cas, ayant forgé le socle normatif, le Parlement européen n</w:t>
      </w:r>
      <w:r w:rsidR="00C46822">
        <w:t>’</w:t>
      </w:r>
      <w:r w:rsidR="00553948">
        <w:t>a pas à y revenir de manière approfondie et active pour l</w:t>
      </w:r>
      <w:r w:rsidR="00C46822">
        <w:t>’</w:t>
      </w:r>
      <w:r w:rsidR="00553948">
        <w:t xml:space="preserve">adapter aux RUP. </w:t>
      </w:r>
      <w:r w:rsidR="00DE6BFB">
        <w:t>Le déséquilibre et l</w:t>
      </w:r>
      <w:r w:rsidR="00C46822">
        <w:t>’</w:t>
      </w:r>
      <w:r w:rsidR="009D1FBB">
        <w:t>asym</w:t>
      </w:r>
      <w:r w:rsidR="00E22F9B">
        <w:t>étrie des raisonnements entre le</w:t>
      </w:r>
      <w:r w:rsidR="009D1FBB">
        <w:t xml:space="preserve"> droit primaire et</w:t>
      </w:r>
      <w:r w:rsidR="00E22F9B">
        <w:t xml:space="preserve"> le</w:t>
      </w:r>
      <w:r w:rsidR="009D1FBB">
        <w:t xml:space="preserve"> droit dérivé entretiennent l</w:t>
      </w:r>
      <w:r w:rsidR="00DB5F34">
        <w:t>e malaise quant à l</w:t>
      </w:r>
      <w:r w:rsidR="00C46822">
        <w:t>’</w:t>
      </w:r>
      <w:r w:rsidR="00DB5F34">
        <w:t>appréciation de l</w:t>
      </w:r>
      <w:r w:rsidR="00C46822">
        <w:t>’</w:t>
      </w:r>
      <w:r w:rsidR="00DB5F34">
        <w:t xml:space="preserve">article 349 TFUE et </w:t>
      </w:r>
      <w:r w:rsidR="00E22F9B">
        <w:t>le</w:t>
      </w:r>
      <w:r>
        <w:t xml:space="preserve"> </w:t>
      </w:r>
      <w:r w:rsidR="00DB5F34">
        <w:t>caractère bancal</w:t>
      </w:r>
      <w:r>
        <w:t xml:space="preserve"> de sa mise en oeuvre</w:t>
      </w:r>
      <w:r w:rsidR="00DB5F34">
        <w:t>. L</w:t>
      </w:r>
      <w:r w:rsidR="001826B2">
        <w:t>a s</w:t>
      </w:r>
      <w:r w:rsidR="00B31F1B">
        <w:t>olution de la Cour de justice, incontestable dans son principe, les RUP doivent bénéficier d</w:t>
      </w:r>
      <w:r w:rsidR="00C46822">
        <w:t>’</w:t>
      </w:r>
      <w:r w:rsidR="00B31F1B">
        <w:t xml:space="preserve">un traitement différencié </w:t>
      </w:r>
      <w:r w:rsidR="001826B2">
        <w:t xml:space="preserve">étendu au droit dérivé, </w:t>
      </w:r>
      <w:r w:rsidR="00DB5F34">
        <w:t>entraine</w:t>
      </w:r>
      <w:r w:rsidR="001826B2">
        <w:t xml:space="preserve"> des imperfections procédurales et des manquements élémentaires à la log</w:t>
      </w:r>
      <w:r w:rsidR="00E22F9B">
        <w:t>ique démocratique.</w:t>
      </w:r>
    </w:p>
    <w:p w14:paraId="7796D7A6" w14:textId="77777777" w:rsidR="00B31F1B" w:rsidRDefault="00B31F1B" w:rsidP="00FA1BEB">
      <w:pPr>
        <w:spacing w:line="276" w:lineRule="auto"/>
        <w:jc w:val="both"/>
      </w:pPr>
    </w:p>
    <w:p w14:paraId="70DBE2EE" w14:textId="3C38ADB2" w:rsidR="005D44CC" w:rsidRDefault="001826B2" w:rsidP="005D44CC">
      <w:pPr>
        <w:spacing w:line="276" w:lineRule="auto"/>
        <w:ind w:firstLine="708"/>
        <w:jc w:val="both"/>
      </w:pPr>
      <w:r>
        <w:t>Sans doute conviendrait-il de revoir le dispositif de l</w:t>
      </w:r>
      <w:r w:rsidR="00C46822">
        <w:t>’</w:t>
      </w:r>
      <w:r>
        <w:t>article 349 TFUE dans le sens de sa clarification et dans celui de la promotion des pouvoirs du Parlement européen. Le premier s</w:t>
      </w:r>
      <w:r w:rsidR="00C46822">
        <w:t>’</w:t>
      </w:r>
      <w:r w:rsidR="00C21324">
        <w:t>accommode</w:t>
      </w:r>
      <w:r>
        <w:t xml:space="preserve"> sans mal </w:t>
      </w:r>
      <w:r w:rsidR="00C21324">
        <w:t>d</w:t>
      </w:r>
      <w:r w:rsidR="00C46822">
        <w:t>’</w:t>
      </w:r>
      <w:r w:rsidR="00C21324">
        <w:t xml:space="preserve">une réécriture </w:t>
      </w:r>
      <w:r w:rsidR="003C406D">
        <w:t>signalant par exemple que les mesures spécifiques sont en toutes hypothèses adoptées à la majorité qualifiée après avis du Parlement européen</w:t>
      </w:r>
      <w:r w:rsidR="00AA7ECD">
        <w:t>, et ce</w:t>
      </w:r>
      <w:r w:rsidR="003C406D">
        <w:t xml:space="preserve"> afin de supprimer la précision tortueuse apportée par le traité de Lisbonne. L</w:t>
      </w:r>
      <w:r w:rsidR="00D57437">
        <w:t>e second peut passer par la mise en œuvre d</w:t>
      </w:r>
      <w:r w:rsidR="00C46822">
        <w:t>’</w:t>
      </w:r>
      <w:r w:rsidR="00D57437">
        <w:t xml:space="preserve">une résonnance entre les procédures </w:t>
      </w:r>
      <w:r w:rsidR="00DE6BFB">
        <w:t xml:space="preserve">dont le </w:t>
      </w:r>
      <w:r w:rsidR="00D57437">
        <w:t>droit de l</w:t>
      </w:r>
      <w:r w:rsidR="00C46822">
        <w:t>’</w:t>
      </w:r>
      <w:r w:rsidR="00D57437">
        <w:t>Union</w:t>
      </w:r>
      <w:r w:rsidR="00DE6BFB">
        <w:t xml:space="preserve"> est familier</w:t>
      </w:r>
      <w:r w:rsidR="00DE6BFB">
        <w:rPr>
          <w:rStyle w:val="Marquenotebasdepage"/>
        </w:rPr>
        <w:footnoteReference w:id="91"/>
      </w:r>
      <w:r w:rsidR="005D44CC">
        <w:t xml:space="preserve">, en prévoyant </w:t>
      </w:r>
      <w:r w:rsidR="00AA7ECD">
        <w:t xml:space="preserve">par exemple </w:t>
      </w:r>
      <w:r w:rsidR="005D44CC">
        <w:t>que l</w:t>
      </w:r>
      <w:r w:rsidR="00C46822">
        <w:t>’</w:t>
      </w:r>
      <w:r w:rsidR="005D44CC">
        <w:t xml:space="preserve">adaptation par des mesures spécifiques du droit dérivé emprunte des formes identiques à celles ayant présidé à son adoption. </w:t>
      </w:r>
      <w:r w:rsidR="00397D0B">
        <w:t xml:space="preserve">Si </w:t>
      </w:r>
      <w:r w:rsidR="009B65A8">
        <w:t>une réécriture est toujours possible à la faveur d</w:t>
      </w:r>
      <w:r w:rsidR="00C46822">
        <w:t>’</w:t>
      </w:r>
      <w:r w:rsidR="009B65A8">
        <w:t xml:space="preserve">une révision des traités, </w:t>
      </w:r>
      <w:r w:rsidR="008573C7">
        <w:t>la circonscription</w:t>
      </w:r>
      <w:r w:rsidR="009B65A8">
        <w:t xml:space="preserve"> des effets négatifs de la solution de la Cou</w:t>
      </w:r>
      <w:r w:rsidR="008573C7">
        <w:t xml:space="preserve">r de justice réside </w:t>
      </w:r>
      <w:r w:rsidR="00AA7ECD">
        <w:t xml:space="preserve">plus sûrement </w:t>
      </w:r>
      <w:r w:rsidR="008573C7">
        <w:t>dans</w:t>
      </w:r>
      <w:r w:rsidR="009B65A8">
        <w:t xml:space="preserve"> la modulation de sa portée.</w:t>
      </w:r>
    </w:p>
    <w:p w14:paraId="15E1B212" w14:textId="77777777" w:rsidR="005D44CC" w:rsidRDefault="005D44CC" w:rsidP="00FA1BEB">
      <w:pPr>
        <w:spacing w:line="276" w:lineRule="auto"/>
        <w:jc w:val="both"/>
      </w:pPr>
    </w:p>
    <w:p w14:paraId="11D24158" w14:textId="29244710" w:rsidR="00CB29E3" w:rsidRPr="00CB29E3" w:rsidRDefault="00822AC8" w:rsidP="00CB29E3">
      <w:pPr>
        <w:spacing w:line="276" w:lineRule="auto"/>
        <w:ind w:firstLine="708"/>
        <w:jc w:val="both"/>
      </w:pPr>
      <w:r>
        <w:t>Suivant l</w:t>
      </w:r>
      <w:r w:rsidR="00C46822">
        <w:t>’</w:t>
      </w:r>
      <w:r w:rsidR="00FA1BEB">
        <w:t>analyse du</w:t>
      </w:r>
      <w:r>
        <w:t xml:space="preserve"> </w:t>
      </w:r>
      <w:r w:rsidR="00FA1BEB">
        <w:t xml:space="preserve">professeur </w:t>
      </w:r>
      <w:r>
        <w:t xml:space="preserve">D. Perrot, des </w:t>
      </w:r>
      <w:r w:rsidR="00617D1F">
        <w:t>« </w:t>
      </w:r>
      <w:r w:rsidR="00617D1F" w:rsidRPr="00617D1F">
        <w:t>indices laissent entrevoir des freins à une généralisation absolue</w:t>
      </w:r>
      <w:r w:rsidR="00617D1F">
        <w:t> »</w:t>
      </w:r>
      <w:r>
        <w:t xml:space="preserve"> de la solution de l</w:t>
      </w:r>
      <w:r w:rsidR="00C46822">
        <w:t>’</w:t>
      </w:r>
      <w:r>
        <w:t>arrêt</w:t>
      </w:r>
      <w:r w:rsidR="00617D1F" w:rsidRPr="00617D1F">
        <w:t>.</w:t>
      </w:r>
      <w:r>
        <w:t xml:space="preserve"> </w:t>
      </w:r>
      <w:r w:rsidR="00E22F9B">
        <w:t>Ils découlent e</w:t>
      </w:r>
      <w:r>
        <w:t>n substance</w:t>
      </w:r>
      <w:r w:rsidR="00E22F9B">
        <w:t xml:space="preserve"> de deux considérations. Est</w:t>
      </w:r>
      <w:r>
        <w:t xml:space="preserve"> </w:t>
      </w:r>
      <w:r w:rsidR="00E22F9B">
        <w:t>fragilisé</w:t>
      </w:r>
      <w:r w:rsidR="00617D1F">
        <w:t xml:space="preserve"> </w:t>
      </w:r>
      <w:r>
        <w:t>d</w:t>
      </w:r>
      <w:r w:rsidR="00C46822">
        <w:t>’</w:t>
      </w:r>
      <w:r>
        <w:t xml:space="preserve">une part </w:t>
      </w:r>
      <w:r w:rsidR="00617D1F">
        <w:t xml:space="preserve">le droit en vigueur </w:t>
      </w:r>
      <w:r>
        <w:t>lorsqu</w:t>
      </w:r>
      <w:r w:rsidR="00C46822">
        <w:t>’</w:t>
      </w:r>
      <w:r>
        <w:t>il repose sur une autre base juridique que l</w:t>
      </w:r>
      <w:r w:rsidR="00C46822">
        <w:t>’</w:t>
      </w:r>
      <w:r w:rsidR="00AA7ECD">
        <w:t>article 349 TFUE assortie</w:t>
      </w:r>
      <w:r>
        <w:t xml:space="preserve"> </w:t>
      </w:r>
      <w:r w:rsidR="00AA7ECD">
        <w:t>d</w:t>
      </w:r>
      <w:r w:rsidR="00FA1BEB">
        <w:t>e la procédure législative ordinaire. Et</w:t>
      </w:r>
      <w:r>
        <w:t xml:space="preserve"> d</w:t>
      </w:r>
      <w:r w:rsidR="00C46822">
        <w:t>’</w:t>
      </w:r>
      <w:r>
        <w:t>autre part</w:t>
      </w:r>
      <w:r w:rsidR="00FA1BEB">
        <w:t>,</w:t>
      </w:r>
      <w:r>
        <w:t xml:space="preserve"> </w:t>
      </w:r>
      <w:r w:rsidR="00C00454">
        <w:t>lorsque le même texte s</w:t>
      </w:r>
      <w:r w:rsidR="00C46822">
        <w:t>’</w:t>
      </w:r>
      <w:r w:rsidR="00C00454">
        <w:t>applique aux régions de droit commun et aux RUP</w:t>
      </w:r>
      <w:r w:rsidR="00E22F9B">
        <w:t>,</w:t>
      </w:r>
      <w:r w:rsidR="00C00454">
        <w:t xml:space="preserve"> comme en matière de fonds structurels, faut-il </w:t>
      </w:r>
      <w:r w:rsidR="00C00454">
        <w:lastRenderedPageBreak/>
        <w:t>pour l</w:t>
      </w:r>
      <w:r w:rsidR="00C46822">
        <w:t>’</w:t>
      </w:r>
      <w:r w:rsidR="00C00454">
        <w:t>avenir dissocier les deux au risque de doub</w:t>
      </w:r>
      <w:r w:rsidR="00FA1BEB">
        <w:t>ler les actes et les procédures ?</w:t>
      </w:r>
      <w:r w:rsidR="00C00454">
        <w:t xml:space="preserve"> A la complication s</w:t>
      </w:r>
      <w:r w:rsidR="00C46822">
        <w:t>’</w:t>
      </w:r>
      <w:r w:rsidR="00C00454">
        <w:t xml:space="preserve">ajoute la régression </w:t>
      </w:r>
      <w:r w:rsidR="00E22F9B">
        <w:t xml:space="preserve">des prérogatives </w:t>
      </w:r>
      <w:r w:rsidR="00C00454">
        <w:t>parlementaire</w:t>
      </w:r>
      <w:r w:rsidR="00E22F9B">
        <w:t>s. S</w:t>
      </w:r>
      <w:r w:rsidR="00CB29E3">
        <w:t>ans compter que cela « </w:t>
      </w:r>
      <w:r w:rsidR="00CB29E3" w:rsidRPr="00CB29E3">
        <w:t>rappellerait de façon inversée la pratique erronée antérieure à l</w:t>
      </w:r>
      <w:r w:rsidR="00C46822">
        <w:t>’</w:t>
      </w:r>
      <w:r w:rsidR="00CB29E3" w:rsidRPr="00CB29E3">
        <w:t xml:space="preserve">arrêt </w:t>
      </w:r>
      <w:r w:rsidR="00CB29E3" w:rsidRPr="00CB29E3">
        <w:rPr>
          <w:i/>
          <w:iCs/>
        </w:rPr>
        <w:t>Hansen</w:t>
      </w:r>
      <w:r w:rsidR="00CB29E3" w:rsidRPr="00CB29E3">
        <w:t>, où un acte de portée générale pouvait être suivi, parfois le même jour, d</w:t>
      </w:r>
      <w:r w:rsidR="00C46822">
        <w:t>’</w:t>
      </w:r>
      <w:r w:rsidR="00CB29E3" w:rsidRPr="00CB29E3">
        <w:t>une décision le rendant applicable aux DOM</w:t>
      </w:r>
      <w:r w:rsidR="00CB29E3">
        <w:t> »</w:t>
      </w:r>
      <w:r w:rsidR="00CB29E3">
        <w:rPr>
          <w:rStyle w:val="Marquenotebasdepage"/>
        </w:rPr>
        <w:footnoteReference w:id="92"/>
      </w:r>
      <w:r w:rsidR="00CB29E3" w:rsidRPr="00CB29E3">
        <w:t>.</w:t>
      </w:r>
      <w:r w:rsidR="00FA1BEB" w:rsidRPr="00FA1BEB">
        <w:t xml:space="preserve"> </w:t>
      </w:r>
      <w:r w:rsidR="00FA1BEB">
        <w:t>Ainsi, les précisions apportées par la Cour de justice s</w:t>
      </w:r>
      <w:r w:rsidR="00C46822">
        <w:t>’</w:t>
      </w:r>
      <w:r w:rsidR="00FA1BEB">
        <w:t>agissant du domaine normatif de l</w:t>
      </w:r>
      <w:r w:rsidR="00C46822">
        <w:t>’</w:t>
      </w:r>
      <w:r w:rsidR="00FA1BEB">
        <w:t>article 349 TFUE soulève</w:t>
      </w:r>
      <w:r w:rsidR="00E22F9B">
        <w:t>nt</w:t>
      </w:r>
      <w:r w:rsidR="00FA1BEB">
        <w:t xml:space="preserve"> de légitimes interrogations.</w:t>
      </w:r>
    </w:p>
    <w:p w14:paraId="0E7922FA" w14:textId="0EC07E0C" w:rsidR="005D44CC" w:rsidRDefault="005D44CC" w:rsidP="00FA1BEB">
      <w:pPr>
        <w:spacing w:line="276" w:lineRule="auto"/>
        <w:jc w:val="both"/>
      </w:pPr>
    </w:p>
    <w:p w14:paraId="005F9482" w14:textId="1B52FF29" w:rsidR="003A1A3D" w:rsidRPr="003A1A3D" w:rsidRDefault="00E22F9B" w:rsidP="00B057FB">
      <w:pPr>
        <w:spacing w:line="276" w:lineRule="auto"/>
        <w:ind w:firstLine="708"/>
        <w:jc w:val="both"/>
      </w:pPr>
      <w:r>
        <w:t xml:space="preserve">Pour autant, </w:t>
      </w:r>
      <w:r w:rsidR="0084290D">
        <w:t>l</w:t>
      </w:r>
      <w:r w:rsidR="00C46822">
        <w:t>’</w:t>
      </w:r>
      <w:r w:rsidR="002F030A">
        <w:t>affaire t</w:t>
      </w:r>
      <w:r w:rsidR="0084290D">
        <w:t>ranchée par la Cour de justice possède à nos yeux tous les caractères</w:t>
      </w:r>
      <w:r w:rsidR="00FA1BEB">
        <w:t xml:space="preserve"> du « case test » </w:t>
      </w:r>
      <w:r w:rsidR="00CC3E59">
        <w:t>pour ne valoir</w:t>
      </w:r>
      <w:r w:rsidR="002F030A">
        <w:t xml:space="preserve"> que dans une situation comparable, à savoir le changement de statut d</w:t>
      </w:r>
      <w:r w:rsidR="00C46822">
        <w:t>’</w:t>
      </w:r>
      <w:r w:rsidR="002F030A">
        <w:t>un territoire ultramarin. D</w:t>
      </w:r>
      <w:r w:rsidR="004273C0">
        <w:t xml:space="preserve">ans la mesure où les textes contestés consistaient </w:t>
      </w:r>
      <w:r w:rsidR="004273C0" w:rsidRPr="004273C0">
        <w:rPr>
          <w:i/>
        </w:rPr>
        <w:t>exclusivement</w:t>
      </w:r>
      <w:r w:rsidR="004273C0">
        <w:t xml:space="preserve"> en des mesures spécifiques, l</w:t>
      </w:r>
      <w:r w:rsidR="00C46822">
        <w:t>’</w:t>
      </w:r>
      <w:r w:rsidR="004273C0">
        <w:t>exclusivité de l</w:t>
      </w:r>
      <w:r w:rsidR="00C46822">
        <w:t>’</w:t>
      </w:r>
      <w:r w:rsidR="002F030A">
        <w:t>objet appelai</w:t>
      </w:r>
      <w:r w:rsidR="004273C0">
        <w:t>t l</w:t>
      </w:r>
      <w:r w:rsidR="00C46822">
        <w:t>’</w:t>
      </w:r>
      <w:r w:rsidR="004273C0">
        <w:t xml:space="preserve">exclusivité du fondement. </w:t>
      </w:r>
      <w:r w:rsidR="002F030A">
        <w:t>Le fait n</w:t>
      </w:r>
      <w:r w:rsidR="00C46822">
        <w:t>’</w:t>
      </w:r>
      <w:r w:rsidR="002F030A">
        <w:t xml:space="preserve">est pas nouveau et </w:t>
      </w:r>
      <w:r w:rsidR="00CC3E59">
        <w:t>se perpét</w:t>
      </w:r>
      <w:r w:rsidR="002F030A">
        <w:t>ue, u</w:t>
      </w:r>
      <w:r w:rsidR="001D08FF">
        <w:t xml:space="preserve">ne illustration peut être trouvée dans la </w:t>
      </w:r>
      <w:r w:rsidR="00FA1BEB">
        <w:t xml:space="preserve">récente </w:t>
      </w:r>
      <w:r w:rsidR="001D08FF">
        <w:t>pro</w:t>
      </w:r>
      <w:r w:rsidR="00BC58BE">
        <w:t xml:space="preserve">position de décision du Conseil </w:t>
      </w:r>
      <w:r w:rsidR="00BC58BE" w:rsidRPr="00BC58BE">
        <w:t>autorisant la France à appliquer un taux réduit concernant certaines taxes indirectes sur le rhum «traditionnel» produit en Guadeloupe, en Guyane française, en Martinique et à La Réunion</w:t>
      </w:r>
      <w:r w:rsidR="00BC58BE">
        <w:t xml:space="preserve"> présenté</w:t>
      </w:r>
      <w:r w:rsidR="00CC3E59">
        <w:t>e</w:t>
      </w:r>
      <w:r w:rsidR="00BC58BE">
        <w:t xml:space="preserve"> par</w:t>
      </w:r>
      <w:r w:rsidR="00BC58BE" w:rsidRPr="00BC58BE">
        <w:t xml:space="preserve"> </w:t>
      </w:r>
      <w:r w:rsidR="001D08FF">
        <w:t>la Commission</w:t>
      </w:r>
      <w:r w:rsidR="00BC58BE">
        <w:t xml:space="preserve"> au titre de l</w:t>
      </w:r>
      <w:r w:rsidR="00C46822">
        <w:t>’</w:t>
      </w:r>
      <w:r w:rsidR="00BC58BE">
        <w:t>article 349 TFUE</w:t>
      </w:r>
      <w:r w:rsidR="00BC58BE">
        <w:rPr>
          <w:rStyle w:val="Marquenotebasdepage"/>
        </w:rPr>
        <w:footnoteReference w:id="93"/>
      </w:r>
      <w:bookmarkStart w:id="7" w:name="ABSid392929120160"/>
      <w:bookmarkEnd w:id="7"/>
      <w:r w:rsidR="002F030A">
        <w:t xml:space="preserve"> ; </w:t>
      </w:r>
      <w:r w:rsidR="00585A2B">
        <w:t xml:space="preserve">la décision </w:t>
      </w:r>
      <w:r w:rsidR="003A1A3D">
        <w:t xml:space="preserve">adaptée avait une base </w:t>
      </w:r>
      <w:r w:rsidR="002F030A">
        <w:t xml:space="preserve">juridique </w:t>
      </w:r>
      <w:r w:rsidR="003A1A3D">
        <w:t>identique</w:t>
      </w:r>
      <w:r w:rsidR="003A1A3D">
        <w:rPr>
          <w:rStyle w:val="Marquenotebasdepage"/>
        </w:rPr>
        <w:footnoteReference w:id="94"/>
      </w:r>
      <w:r w:rsidR="002F030A">
        <w:t>. Inversement si l</w:t>
      </w:r>
      <w:r w:rsidR="00C46822">
        <w:t>’</w:t>
      </w:r>
      <w:r w:rsidR="002F030A">
        <w:t xml:space="preserve">on ose dire, </w:t>
      </w:r>
      <w:r w:rsidR="00CC3E59">
        <w:t>la Commission continue de</w:t>
      </w:r>
      <w:r w:rsidR="002F030A">
        <w:t xml:space="preserve"> </w:t>
      </w:r>
      <w:r w:rsidR="00CC3E59">
        <w:t>mêler</w:t>
      </w:r>
      <w:r w:rsidR="002407CD">
        <w:t xml:space="preserve"> base juridique sectorielle et mention de l</w:t>
      </w:r>
      <w:r w:rsidR="00C46822">
        <w:t>’</w:t>
      </w:r>
      <w:r w:rsidR="002407CD">
        <w:t xml:space="preserve">article 349 TFUE </w:t>
      </w:r>
      <w:r w:rsidR="00CC3E59">
        <w:t xml:space="preserve">dans les visas </w:t>
      </w:r>
      <w:r w:rsidR="002407CD">
        <w:t>sans que ce dernier ne contamine les modalités d</w:t>
      </w:r>
      <w:r w:rsidR="00C46822">
        <w:t>’</w:t>
      </w:r>
      <w:r w:rsidR="002407CD">
        <w:t>élaboration de l</w:t>
      </w:r>
      <w:r w:rsidR="00C46822">
        <w:t>’</w:t>
      </w:r>
      <w:r w:rsidR="002407CD">
        <w:t xml:space="preserve">acte par une </w:t>
      </w:r>
      <w:r w:rsidR="00FA1BEB">
        <w:t>exclusion de</w:t>
      </w:r>
      <w:r w:rsidR="002407CD">
        <w:t xml:space="preserve"> la procédure législative ordinaire</w:t>
      </w:r>
      <w:r w:rsidR="002407CD">
        <w:rPr>
          <w:rStyle w:val="Marquenotebasdepage"/>
        </w:rPr>
        <w:footnoteReference w:id="95"/>
      </w:r>
      <w:r w:rsidR="002407CD">
        <w:t>. Seule l</w:t>
      </w:r>
      <w:r w:rsidR="00C46822">
        <w:t>’</w:t>
      </w:r>
      <w:r w:rsidR="002407CD">
        <w:t>annulation du futur acte adopté au motif que la mention des RUP</w:t>
      </w:r>
      <w:r w:rsidR="00D83946">
        <w:t xml:space="preserve"> et des dispositions les concernant</w:t>
      </w:r>
      <w:r w:rsidR="002407CD">
        <w:t xml:space="preserve"> devrait être isolée du texte au motif de la nécessité de l</w:t>
      </w:r>
      <w:r w:rsidR="00C46822">
        <w:t>’</w:t>
      </w:r>
      <w:r w:rsidR="002407CD">
        <w:t>exclusivité du fondement, l</w:t>
      </w:r>
      <w:r w:rsidR="00C46822">
        <w:t>’</w:t>
      </w:r>
      <w:r w:rsidR="00D7559A">
        <w:t>article 349 TFUE</w:t>
      </w:r>
      <w:r w:rsidR="00C46822">
        <w:t>,</w:t>
      </w:r>
      <w:r w:rsidR="00D7559A">
        <w:t xml:space="preserve"> serait</w:t>
      </w:r>
      <w:r w:rsidR="002407CD">
        <w:t xml:space="preserve"> de nature à démentir l</w:t>
      </w:r>
      <w:r w:rsidR="00C46822">
        <w:t>’</w:t>
      </w:r>
      <w:r w:rsidR="002407CD">
        <w:t xml:space="preserve">analyse. </w:t>
      </w:r>
      <w:r w:rsidR="005A6A89">
        <w:t xml:space="preserve">Si le risque </w:t>
      </w:r>
      <w:r w:rsidR="009E02B2">
        <w:t>est faible d</w:t>
      </w:r>
      <w:r w:rsidR="00C46822">
        <w:t>’</w:t>
      </w:r>
      <w:r w:rsidR="009E02B2">
        <w:t>une actio</w:t>
      </w:r>
      <w:r w:rsidR="00D7559A">
        <w:t>n contentieuse à cette fin, il</w:t>
      </w:r>
      <w:r w:rsidR="009E02B2">
        <w:t xml:space="preserve"> </w:t>
      </w:r>
      <w:r w:rsidR="00B057FB">
        <w:t>ne gagne pas</w:t>
      </w:r>
      <w:r w:rsidR="00D7559A">
        <w:t xml:space="preserve"> davantage</w:t>
      </w:r>
      <w:r w:rsidR="00B057FB">
        <w:t xml:space="preserve"> en </w:t>
      </w:r>
      <w:r w:rsidR="009E02B2">
        <w:t xml:space="preserve">consistance lorsque la Commission </w:t>
      </w:r>
      <w:r w:rsidR="00FA1BEB">
        <w:t>prévoit une exception-exclusion</w:t>
      </w:r>
      <w:r w:rsidR="00B057FB">
        <w:t xml:space="preserve"> s</w:t>
      </w:r>
      <w:r w:rsidR="00C46822">
        <w:t>’</w:t>
      </w:r>
      <w:r w:rsidR="00B057FB">
        <w:t>agissant du système d</w:t>
      </w:r>
      <w:r w:rsidR="00C46822">
        <w:t>’</w:t>
      </w:r>
      <w:r w:rsidR="00B057FB">
        <w:t>échanges de quotas relatif à l</w:t>
      </w:r>
      <w:r w:rsidR="00C46822">
        <w:t>’</w:t>
      </w:r>
      <w:r w:rsidR="00B057FB">
        <w:t xml:space="preserve">avion civile </w:t>
      </w:r>
      <w:r w:rsidR="00320982">
        <w:t>qui ne s</w:t>
      </w:r>
      <w:r w:rsidR="00C46822">
        <w:t>’</w:t>
      </w:r>
      <w:r w:rsidR="00320982">
        <w:t>applique</w:t>
      </w:r>
      <w:r w:rsidR="00B057FB" w:rsidRPr="00B057FB">
        <w:t xml:space="preserve"> </w:t>
      </w:r>
      <w:r w:rsidR="00B057FB">
        <w:t>« </w:t>
      </w:r>
      <w:r w:rsidR="00B057FB" w:rsidRPr="00B057FB">
        <w:t>pas aux vols au départ ni aux vols à destination de régions ultrapériphériques</w:t>
      </w:r>
      <w:r w:rsidR="00B057FB">
        <w:t> »</w:t>
      </w:r>
      <w:r w:rsidR="00B057FB">
        <w:rPr>
          <w:rStyle w:val="Marquenotebasdepage"/>
        </w:rPr>
        <w:footnoteReference w:id="96"/>
      </w:r>
      <w:r w:rsidR="00320982">
        <w:t xml:space="preserve">, </w:t>
      </w:r>
      <w:r w:rsidR="00C46822">
        <w:t>puisqu’elle se fait sans le renfort d</w:t>
      </w:r>
      <w:r w:rsidR="00320982">
        <w:t xml:space="preserve">e </w:t>
      </w:r>
      <w:r w:rsidR="00C46822">
        <w:t xml:space="preserve">l’article </w:t>
      </w:r>
      <w:r w:rsidR="00320982">
        <w:t>349 TFUE</w:t>
      </w:r>
      <w:r w:rsidR="00FA1BEB">
        <w:t>.</w:t>
      </w:r>
    </w:p>
    <w:p w14:paraId="4865902C" w14:textId="3A70F102" w:rsidR="00BC58BE" w:rsidRPr="00BC58BE" w:rsidRDefault="00BC58BE" w:rsidP="00FA1BEB">
      <w:pPr>
        <w:spacing w:line="276" w:lineRule="auto"/>
        <w:jc w:val="both"/>
      </w:pPr>
    </w:p>
    <w:p w14:paraId="11017358" w14:textId="1ADA43B4" w:rsidR="0080460C" w:rsidRPr="0080460C" w:rsidRDefault="00391024" w:rsidP="0080460C">
      <w:pPr>
        <w:spacing w:line="276" w:lineRule="auto"/>
        <w:ind w:firstLine="708"/>
        <w:jc w:val="both"/>
        <w:rPr>
          <w:rFonts w:eastAsia="Times New Roman"/>
          <w:bCs/>
        </w:rPr>
      </w:pPr>
      <w:bookmarkStart w:id="8" w:name="ABSid392929112232"/>
      <w:bookmarkEnd w:id="8"/>
      <w:r>
        <w:t xml:space="preserve">Au-delà de ces aspects juridiques, </w:t>
      </w:r>
      <w:r w:rsidR="00437006">
        <w:t>le véritable enjeu tient dans le caractère systématique d</w:t>
      </w:r>
      <w:r w:rsidR="00C46822">
        <w:t>’</w:t>
      </w:r>
      <w:r w:rsidR="00437006">
        <w:t>un « réflexe RUP » que devrait nourrir la Commiss</w:t>
      </w:r>
      <w:r w:rsidR="00F922F2">
        <w:t>ion</w:t>
      </w:r>
      <w:r w:rsidR="00076283">
        <w:rPr>
          <w:rStyle w:val="Marquenotebasdepage"/>
        </w:rPr>
        <w:footnoteReference w:id="97"/>
      </w:r>
      <w:r w:rsidR="00F922F2">
        <w:t xml:space="preserve">. Tel est le sens de la résolution du </w:t>
      </w:r>
      <w:r w:rsidR="00C63EB4">
        <w:t>6</w:t>
      </w:r>
      <w:r w:rsidR="00783011">
        <w:t xml:space="preserve"> juillet 2017 </w:t>
      </w:r>
      <w:r w:rsidR="00C46822">
        <w:t xml:space="preserve">du </w:t>
      </w:r>
      <w:r w:rsidR="00F922F2">
        <w:t>Parlement européen qui, estimant « </w:t>
      </w:r>
      <w:r w:rsidR="00F922F2" w:rsidRPr="00F922F2">
        <w:t>que l</w:t>
      </w:r>
      <w:r w:rsidR="00C46822">
        <w:t>’</w:t>
      </w:r>
      <w:r w:rsidR="00F922F2" w:rsidRPr="00F922F2">
        <w:t>article 349 du traité FUE a été utilisé de manière limitée et qu</w:t>
      </w:r>
      <w:r w:rsidR="00C46822">
        <w:t>’</w:t>
      </w:r>
      <w:r w:rsidR="00F922F2" w:rsidRPr="00F922F2">
        <w:t>il pourrait être interprété de manière plus novatrice et positive</w:t>
      </w:r>
      <w:r w:rsidR="00F922F2">
        <w:t xml:space="preserve"> » décline </w:t>
      </w:r>
      <w:r w:rsidR="00783011">
        <w:t xml:space="preserve">les mesures à prendre et les orientations à adopter </w:t>
      </w:r>
      <w:r w:rsidR="00F922F2">
        <w:t>pour un ensemble de secteurs alla</w:t>
      </w:r>
      <w:r w:rsidR="005D482E">
        <w:t>nt de la politique agricole à un ensemble de matières formé de la</w:t>
      </w:r>
      <w:r w:rsidR="00F922F2">
        <w:t xml:space="preserve"> </w:t>
      </w:r>
      <w:r w:rsidR="00F922F2">
        <w:rPr>
          <w:rStyle w:val="italic"/>
          <w:rFonts w:eastAsia="Times New Roman"/>
        </w:rPr>
        <w:t xml:space="preserve">recherche, </w:t>
      </w:r>
      <w:r w:rsidR="005D482E">
        <w:rPr>
          <w:rStyle w:val="italic"/>
          <w:rFonts w:eastAsia="Times New Roman"/>
        </w:rPr>
        <w:t>de l</w:t>
      </w:r>
      <w:r w:rsidR="00C46822">
        <w:rPr>
          <w:rStyle w:val="italic"/>
          <w:rFonts w:eastAsia="Times New Roman"/>
        </w:rPr>
        <w:t>’</w:t>
      </w:r>
      <w:r w:rsidR="00F922F2">
        <w:rPr>
          <w:rStyle w:val="italic"/>
          <w:rFonts w:eastAsia="Times New Roman"/>
        </w:rPr>
        <w:t xml:space="preserve">environnement, </w:t>
      </w:r>
      <w:r w:rsidR="005D482E">
        <w:rPr>
          <w:rStyle w:val="italic"/>
          <w:rFonts w:eastAsia="Times New Roman"/>
        </w:rPr>
        <w:t>de l</w:t>
      </w:r>
      <w:r w:rsidR="00C46822">
        <w:rPr>
          <w:rStyle w:val="italic"/>
          <w:rFonts w:eastAsia="Times New Roman"/>
        </w:rPr>
        <w:t>’</w:t>
      </w:r>
      <w:r w:rsidR="00F922F2">
        <w:rPr>
          <w:rStyle w:val="italic"/>
          <w:rFonts w:eastAsia="Times New Roman"/>
        </w:rPr>
        <w:t xml:space="preserve">éducation, </w:t>
      </w:r>
      <w:r w:rsidR="005D482E">
        <w:rPr>
          <w:rStyle w:val="italic"/>
          <w:rFonts w:eastAsia="Times New Roman"/>
        </w:rPr>
        <w:t xml:space="preserve">de la </w:t>
      </w:r>
      <w:r w:rsidR="00F922F2">
        <w:rPr>
          <w:rStyle w:val="italic"/>
          <w:rFonts w:eastAsia="Times New Roman"/>
        </w:rPr>
        <w:t xml:space="preserve">culture, </w:t>
      </w:r>
      <w:r w:rsidR="005D482E">
        <w:rPr>
          <w:rStyle w:val="italic"/>
          <w:rFonts w:eastAsia="Times New Roman"/>
        </w:rPr>
        <w:t xml:space="preserve">du </w:t>
      </w:r>
      <w:r w:rsidR="00F922F2">
        <w:rPr>
          <w:rStyle w:val="italic"/>
          <w:rFonts w:eastAsia="Times New Roman"/>
        </w:rPr>
        <w:t xml:space="preserve">transport, </w:t>
      </w:r>
      <w:r w:rsidR="005D482E">
        <w:rPr>
          <w:rStyle w:val="italic"/>
          <w:rFonts w:eastAsia="Times New Roman"/>
        </w:rPr>
        <w:t>de l</w:t>
      </w:r>
      <w:r w:rsidR="00C46822">
        <w:rPr>
          <w:rStyle w:val="italic"/>
          <w:rFonts w:eastAsia="Times New Roman"/>
        </w:rPr>
        <w:t>’</w:t>
      </w:r>
      <w:r w:rsidR="00F922F2">
        <w:rPr>
          <w:rStyle w:val="italic"/>
          <w:rFonts w:eastAsia="Times New Roman"/>
        </w:rPr>
        <w:t xml:space="preserve">énergie et </w:t>
      </w:r>
      <w:r w:rsidR="005D482E">
        <w:rPr>
          <w:rStyle w:val="italic"/>
          <w:rFonts w:eastAsia="Times New Roman"/>
        </w:rPr>
        <w:t xml:space="preserve">des </w:t>
      </w:r>
      <w:r w:rsidR="00F922F2">
        <w:rPr>
          <w:rStyle w:val="italic"/>
          <w:rFonts w:eastAsia="Times New Roman"/>
        </w:rPr>
        <w:t xml:space="preserve">télécommunications en passant naturellement </w:t>
      </w:r>
      <w:r w:rsidR="00783011">
        <w:rPr>
          <w:rStyle w:val="italic"/>
          <w:rFonts w:eastAsia="Times New Roman"/>
        </w:rPr>
        <w:t xml:space="preserve">par la </w:t>
      </w:r>
      <w:r w:rsidR="00783011">
        <w:rPr>
          <w:rStyle w:val="italic"/>
          <w:rFonts w:eastAsia="Times New Roman"/>
        </w:rPr>
        <w:lastRenderedPageBreak/>
        <w:t>politique de cohésion</w:t>
      </w:r>
      <w:r w:rsidR="00783011">
        <w:rPr>
          <w:rStyle w:val="Marquenotebasdepage"/>
        </w:rPr>
        <w:footnoteReference w:id="98"/>
      </w:r>
      <w:r w:rsidR="00783011">
        <w:rPr>
          <w:rStyle w:val="italic"/>
          <w:rFonts w:eastAsia="Times New Roman"/>
        </w:rPr>
        <w:t>.</w:t>
      </w:r>
      <w:r w:rsidR="009B69E6">
        <w:rPr>
          <w:rStyle w:val="italic"/>
          <w:rFonts w:eastAsia="Times New Roman"/>
        </w:rPr>
        <w:t xml:space="preserve"> Le Sénat français partage cette position</w:t>
      </w:r>
      <w:r w:rsidR="005D482E">
        <w:rPr>
          <w:rStyle w:val="italic"/>
          <w:rFonts w:eastAsia="Times New Roman"/>
        </w:rPr>
        <w:t>,</w:t>
      </w:r>
      <w:r w:rsidR="009B69E6">
        <w:rPr>
          <w:rStyle w:val="italic"/>
          <w:rFonts w:eastAsia="Times New Roman"/>
        </w:rPr>
        <w:t xml:space="preserve"> invitant par exemple</w:t>
      </w:r>
      <w:r w:rsidR="009B69E6">
        <w:rPr>
          <w:rFonts w:eastAsia="Times New Roman"/>
        </w:rPr>
        <w:t xml:space="preserve"> « </w:t>
      </w:r>
      <w:r w:rsidR="009B69E6" w:rsidRPr="009B69E6">
        <w:rPr>
          <w:rFonts w:eastAsia="Times New Roman"/>
        </w:rPr>
        <w:t>la Commission européenne à acclimater les normes européennes réglementant l</w:t>
      </w:r>
      <w:r w:rsidR="00C46822">
        <w:rPr>
          <w:rFonts w:eastAsia="Times New Roman"/>
        </w:rPr>
        <w:t>’</w:t>
      </w:r>
      <w:r w:rsidR="009B69E6" w:rsidRPr="009B69E6">
        <w:rPr>
          <w:rFonts w:eastAsia="Times New Roman"/>
        </w:rPr>
        <w:t>agriculture et l</w:t>
      </w:r>
      <w:r w:rsidR="00C46822">
        <w:rPr>
          <w:rFonts w:eastAsia="Times New Roman"/>
        </w:rPr>
        <w:t>’</w:t>
      </w:r>
      <w:r w:rsidR="009B69E6" w:rsidRPr="009B69E6">
        <w:rPr>
          <w:rFonts w:eastAsia="Times New Roman"/>
        </w:rPr>
        <w:t>élevage aux contraintes propres des RUP en tenant compte des spécificités des productions en milieu tropical</w:t>
      </w:r>
      <w:r w:rsidR="009B69E6">
        <w:rPr>
          <w:rFonts w:eastAsia="Times New Roman"/>
        </w:rPr>
        <w:t> »</w:t>
      </w:r>
      <w:r w:rsidR="009B69E6">
        <w:rPr>
          <w:rStyle w:val="Marquenotebasdepage"/>
          <w:rFonts w:eastAsia="Times New Roman"/>
        </w:rPr>
        <w:footnoteReference w:id="99"/>
      </w:r>
      <w:r w:rsidR="009B69E6">
        <w:rPr>
          <w:rFonts w:eastAsia="Times New Roman"/>
        </w:rPr>
        <w:t xml:space="preserve">. </w:t>
      </w:r>
      <w:r w:rsidR="00076283">
        <w:rPr>
          <w:rFonts w:eastAsia="Times New Roman"/>
        </w:rPr>
        <w:t>L</w:t>
      </w:r>
      <w:r w:rsidR="00C46822">
        <w:rPr>
          <w:rFonts w:eastAsia="Times New Roman"/>
        </w:rPr>
        <w:t>’</w:t>
      </w:r>
      <w:r w:rsidR="00076283">
        <w:rPr>
          <w:rFonts w:eastAsia="Times New Roman"/>
        </w:rPr>
        <w:t>intérêt des sénateurs pour la prise en compte de la spé</w:t>
      </w:r>
      <w:r w:rsidR="00320982">
        <w:rPr>
          <w:rFonts w:eastAsia="Times New Roman"/>
        </w:rPr>
        <w:t xml:space="preserve">cificité ultramarine est tel que de leur propre aveu la </w:t>
      </w:r>
      <w:r w:rsidR="00320982" w:rsidRPr="00076283">
        <w:rPr>
          <w:rFonts w:eastAsia="Times New Roman"/>
          <w:bCs/>
        </w:rPr>
        <w:t>délégation sénatoriale pour l</w:t>
      </w:r>
      <w:r w:rsidR="00C46822">
        <w:rPr>
          <w:rFonts w:eastAsia="Times New Roman"/>
          <w:bCs/>
        </w:rPr>
        <w:t>’</w:t>
      </w:r>
      <w:r w:rsidR="00320982" w:rsidRPr="00076283">
        <w:rPr>
          <w:rFonts w:eastAsia="Times New Roman"/>
          <w:bCs/>
        </w:rPr>
        <w:t>Outremer</w:t>
      </w:r>
      <w:r w:rsidR="00320982">
        <w:rPr>
          <w:rFonts w:eastAsia="Times New Roman"/>
        </w:rPr>
        <w:t xml:space="preserve"> possède un</w:t>
      </w:r>
      <w:r w:rsidR="00076283" w:rsidRPr="00076283">
        <w:rPr>
          <w:rFonts w:eastAsia="Times New Roman"/>
        </w:rPr>
        <w:t xml:space="preserve"> </w:t>
      </w:r>
      <w:r w:rsidR="00076283" w:rsidRPr="00076283">
        <w:rPr>
          <w:rFonts w:eastAsia="Times New Roman"/>
          <w:bCs/>
        </w:rPr>
        <w:t>« ”code génétique” européen »</w:t>
      </w:r>
      <w:r w:rsidR="00076283" w:rsidRPr="00076283">
        <w:rPr>
          <w:rFonts w:eastAsia="Times New Roman"/>
          <w:bCs/>
          <w:vertAlign w:val="superscript"/>
        </w:rPr>
        <w:footnoteReference w:id="100"/>
      </w:r>
      <w:r w:rsidR="00076283" w:rsidRPr="00076283">
        <w:rPr>
          <w:rFonts w:eastAsia="Times New Roman"/>
          <w:bCs/>
        </w:rPr>
        <w:t>.</w:t>
      </w:r>
      <w:r w:rsidR="00076283">
        <w:rPr>
          <w:rFonts w:eastAsia="Times New Roman"/>
          <w:bCs/>
        </w:rPr>
        <w:t xml:space="preserve"> </w:t>
      </w:r>
      <w:r w:rsidR="00B964CE">
        <w:rPr>
          <w:rFonts w:eastAsia="Times New Roman"/>
        </w:rPr>
        <w:t xml:space="preserve">Cette convergence </w:t>
      </w:r>
      <w:r w:rsidR="00F02A63">
        <w:rPr>
          <w:rFonts w:eastAsia="Times New Roman"/>
        </w:rPr>
        <w:t>de vues créée une dynamique,</w:t>
      </w:r>
      <w:r w:rsidR="00B964CE" w:rsidRPr="00B964CE">
        <w:rPr>
          <w:rFonts w:eastAsia="Times New Roman"/>
          <w:bCs/>
        </w:rPr>
        <w:t xml:space="preserve"> la prise en compte de la spécificité </w:t>
      </w:r>
      <w:r w:rsidR="00F02A63">
        <w:rPr>
          <w:rFonts w:eastAsia="Times New Roman"/>
          <w:bCs/>
        </w:rPr>
        <w:t>motivant des mesures particulières est de nature à entrainer un vaste mouvement d</w:t>
      </w:r>
      <w:r w:rsidR="00C46822">
        <w:rPr>
          <w:rFonts w:eastAsia="Times New Roman"/>
          <w:bCs/>
        </w:rPr>
        <w:t>’</w:t>
      </w:r>
      <w:r w:rsidR="00B964CE" w:rsidRPr="00B964CE">
        <w:rPr>
          <w:rFonts w:eastAsia="Times New Roman"/>
          <w:bCs/>
        </w:rPr>
        <w:t>exception-adaptation</w:t>
      </w:r>
      <w:r w:rsidR="00194B6A">
        <w:rPr>
          <w:rFonts w:eastAsia="Times New Roman"/>
          <w:bCs/>
        </w:rPr>
        <w:t> ;</w:t>
      </w:r>
      <w:r w:rsidR="007B3B1D">
        <w:rPr>
          <w:rFonts w:eastAsia="Times New Roman"/>
          <w:bCs/>
        </w:rPr>
        <w:t xml:space="preserve"> plus de spécificités appelant plus de spécificités</w:t>
      </w:r>
      <w:r w:rsidR="00194B6A">
        <w:rPr>
          <w:rFonts w:eastAsia="Times New Roman"/>
          <w:bCs/>
        </w:rPr>
        <w:t>. Il est toutefois borné</w:t>
      </w:r>
      <w:r w:rsidR="00C87536">
        <w:rPr>
          <w:rFonts w:eastAsia="Times New Roman"/>
          <w:bCs/>
        </w:rPr>
        <w:t xml:space="preserve"> par les mécanismes décisionnels au sein du Conseil, où seuls trois Etats membres (Espagne, France et Portugal) sont concernés</w:t>
      </w:r>
      <w:r w:rsidR="00194B6A">
        <w:rPr>
          <w:rFonts w:eastAsia="Times New Roman"/>
          <w:bCs/>
        </w:rPr>
        <w:t>,</w:t>
      </w:r>
      <w:r w:rsidR="00C87536">
        <w:rPr>
          <w:rFonts w:eastAsia="Times New Roman"/>
          <w:bCs/>
        </w:rPr>
        <w:t xml:space="preserve"> « </w:t>
      </w:r>
      <w:r w:rsidR="00C87536" w:rsidRPr="00C87536">
        <w:rPr>
          <w:rFonts w:eastAsia="Times New Roman"/>
          <w:bCs/>
          <w:lang w:val="fr-BE"/>
        </w:rPr>
        <w:t>si bien que rien ne garantit la prise en compte des intérêts spécifiques</w:t>
      </w:r>
      <w:r w:rsidR="00C87536">
        <w:rPr>
          <w:rFonts w:eastAsia="Times New Roman"/>
          <w:bCs/>
          <w:lang w:val="fr-BE"/>
        </w:rPr>
        <w:t> » d</w:t>
      </w:r>
      <w:r w:rsidR="00C87536" w:rsidRPr="00C87536">
        <w:rPr>
          <w:rFonts w:eastAsia="Times New Roman"/>
          <w:bCs/>
          <w:lang w:val="fr-BE"/>
        </w:rPr>
        <w:t xml:space="preserve">es </w:t>
      </w:r>
      <w:r w:rsidR="00C87536">
        <w:rPr>
          <w:rFonts w:eastAsia="Times New Roman"/>
          <w:bCs/>
          <w:lang w:val="fr-BE"/>
        </w:rPr>
        <w:t>RUP</w:t>
      </w:r>
      <w:r w:rsidR="00C87536">
        <w:rPr>
          <w:rStyle w:val="Marquenotebasdepage"/>
          <w:rFonts w:eastAsia="Times New Roman"/>
          <w:bCs/>
          <w:lang w:val="fr-BE"/>
        </w:rPr>
        <w:footnoteReference w:id="101"/>
      </w:r>
      <w:r w:rsidR="00C87536" w:rsidRPr="00C87536">
        <w:rPr>
          <w:rFonts w:eastAsia="Times New Roman"/>
          <w:bCs/>
          <w:lang w:val="fr-BE"/>
        </w:rPr>
        <w:t>.</w:t>
      </w:r>
      <w:r w:rsidR="007B3B1D">
        <w:rPr>
          <w:rFonts w:eastAsia="Times New Roman"/>
          <w:bCs/>
          <w:lang w:val="fr-BE"/>
        </w:rPr>
        <w:t xml:space="preserve"> </w:t>
      </w:r>
      <w:r w:rsidR="0080460C">
        <w:rPr>
          <w:rFonts w:eastAsia="Times New Roman"/>
          <w:bCs/>
          <w:lang w:val="fr-BE"/>
        </w:rPr>
        <w:t xml:space="preserve">Cette affirmation ne perd </w:t>
      </w:r>
      <w:r w:rsidR="00C46822">
        <w:rPr>
          <w:rFonts w:eastAsia="Times New Roman"/>
          <w:bCs/>
          <w:lang w:val="fr-BE"/>
        </w:rPr>
        <w:t xml:space="preserve">pas </w:t>
      </w:r>
      <w:r w:rsidR="0080460C">
        <w:rPr>
          <w:rFonts w:eastAsia="Times New Roman"/>
          <w:bCs/>
          <w:lang w:val="fr-BE"/>
        </w:rPr>
        <w:t xml:space="preserve">de son acuité tant la </w:t>
      </w:r>
      <w:r w:rsidR="00711786">
        <w:rPr>
          <w:rFonts w:eastAsia="Times New Roman"/>
          <w:bCs/>
          <w:lang w:val="fr-BE"/>
        </w:rPr>
        <w:t>« </w:t>
      </w:r>
      <w:r w:rsidR="0080460C">
        <w:rPr>
          <w:rFonts w:eastAsia="Times New Roman"/>
          <w:bCs/>
          <w:lang w:val="fr-BE"/>
        </w:rPr>
        <w:t>nouvelle approche</w:t>
      </w:r>
      <w:r w:rsidR="00711786">
        <w:rPr>
          <w:rFonts w:eastAsia="Times New Roman"/>
          <w:bCs/>
          <w:lang w:val="fr-BE"/>
        </w:rPr>
        <w:t> »</w:t>
      </w:r>
      <w:r w:rsidR="0080460C">
        <w:rPr>
          <w:rFonts w:eastAsia="Times New Roman"/>
          <w:bCs/>
          <w:lang w:val="fr-BE"/>
        </w:rPr>
        <w:t xml:space="preserve"> annoncée par la Commission est modeste dans ses propres recommandations puisqu</w:t>
      </w:r>
      <w:r w:rsidR="00C46822">
        <w:rPr>
          <w:rFonts w:eastAsia="Times New Roman"/>
          <w:bCs/>
          <w:lang w:val="fr-BE"/>
        </w:rPr>
        <w:t>’</w:t>
      </w:r>
      <w:r w:rsidR="0080460C">
        <w:rPr>
          <w:rFonts w:eastAsia="Times New Roman"/>
          <w:bCs/>
          <w:lang w:val="fr-BE"/>
        </w:rPr>
        <w:t xml:space="preserve">elle entend </w:t>
      </w:r>
      <w:r w:rsidR="00B87E18">
        <w:rPr>
          <w:rFonts w:eastAsia="Times New Roman"/>
          <w:bCs/>
          <w:lang w:val="fr-BE"/>
        </w:rPr>
        <w:t xml:space="preserve">seulement </w:t>
      </w:r>
      <w:r w:rsidR="0080460C">
        <w:rPr>
          <w:rFonts w:eastAsia="Times New Roman"/>
          <w:bCs/>
          <w:lang w:val="fr-BE"/>
        </w:rPr>
        <w:t>« </w:t>
      </w:r>
      <w:r w:rsidR="0080460C" w:rsidRPr="0080460C">
        <w:rPr>
          <w:rFonts w:eastAsia="Times New Roman"/>
          <w:bCs/>
        </w:rPr>
        <w:t>veiller à ce que les préoccupations et les intérêts des régions ultrapériphériques</w:t>
      </w:r>
      <w:r w:rsidR="0080460C">
        <w:rPr>
          <w:rFonts w:eastAsia="Times New Roman"/>
          <w:bCs/>
        </w:rPr>
        <w:t xml:space="preserve"> </w:t>
      </w:r>
      <w:r w:rsidR="0080460C" w:rsidRPr="0080460C">
        <w:rPr>
          <w:rFonts w:eastAsia="Times New Roman"/>
          <w:bCs/>
        </w:rPr>
        <w:t>soient dûment pris en considération, le cas échéant, dans les analyses d</w:t>
      </w:r>
      <w:r w:rsidR="00C46822">
        <w:rPr>
          <w:rFonts w:eastAsia="Times New Roman"/>
          <w:bCs/>
        </w:rPr>
        <w:t>’</w:t>
      </w:r>
      <w:r w:rsidR="0080460C" w:rsidRPr="0080460C">
        <w:rPr>
          <w:rFonts w:eastAsia="Times New Roman"/>
          <w:bCs/>
        </w:rPr>
        <w:t>impact et l</w:t>
      </w:r>
      <w:r w:rsidR="00C46822">
        <w:rPr>
          <w:rFonts w:eastAsia="Times New Roman"/>
          <w:bCs/>
        </w:rPr>
        <w:t>’</w:t>
      </w:r>
      <w:r w:rsidR="0080460C" w:rsidRPr="0080460C">
        <w:rPr>
          <w:rFonts w:eastAsia="Times New Roman"/>
          <w:bCs/>
        </w:rPr>
        <w:t>évaluation des politiques</w:t>
      </w:r>
      <w:r w:rsidR="0080460C">
        <w:rPr>
          <w:rFonts w:eastAsia="Times New Roman"/>
          <w:bCs/>
        </w:rPr>
        <w:t> »</w:t>
      </w:r>
      <w:r w:rsidR="0080460C">
        <w:rPr>
          <w:rStyle w:val="Marquenotebasdepage"/>
          <w:rFonts w:eastAsia="Times New Roman"/>
          <w:bCs/>
        </w:rPr>
        <w:footnoteReference w:id="102"/>
      </w:r>
      <w:r w:rsidR="00711786">
        <w:rPr>
          <w:rFonts w:eastAsia="Times New Roman"/>
          <w:bCs/>
        </w:rPr>
        <w:t>, reprodui</w:t>
      </w:r>
      <w:r w:rsidR="00B87E18">
        <w:rPr>
          <w:rFonts w:eastAsia="Times New Roman"/>
          <w:bCs/>
        </w:rPr>
        <w:t>san</w:t>
      </w:r>
      <w:r w:rsidR="00711786">
        <w:rPr>
          <w:rFonts w:eastAsia="Times New Roman"/>
          <w:bCs/>
        </w:rPr>
        <w:t xml:space="preserve">t </w:t>
      </w:r>
      <w:r w:rsidR="00B87E18">
        <w:rPr>
          <w:rFonts w:eastAsia="Times New Roman"/>
          <w:bCs/>
        </w:rPr>
        <w:t xml:space="preserve">ainsi </w:t>
      </w:r>
      <w:r w:rsidR="00711786">
        <w:rPr>
          <w:rFonts w:eastAsia="Times New Roman"/>
          <w:bCs/>
        </w:rPr>
        <w:t>à peu de choses près les termes employés dans sa précédente communication</w:t>
      </w:r>
      <w:r w:rsidR="00B87E18">
        <w:rPr>
          <w:rFonts w:eastAsia="Times New Roman"/>
          <w:bCs/>
        </w:rPr>
        <w:t xml:space="preserve"> consacrée aux RUP</w:t>
      </w:r>
      <w:r w:rsidR="00711786">
        <w:rPr>
          <w:rStyle w:val="Marquenotebasdepage"/>
          <w:rFonts w:eastAsia="Times New Roman"/>
          <w:bCs/>
        </w:rPr>
        <w:footnoteReference w:id="103"/>
      </w:r>
      <w:r w:rsidR="00711786">
        <w:rPr>
          <w:rFonts w:eastAsia="Times New Roman"/>
          <w:bCs/>
        </w:rPr>
        <w:t>.</w:t>
      </w:r>
      <w:r w:rsidR="00B87E18">
        <w:rPr>
          <w:rFonts w:eastAsia="Times New Roman"/>
          <w:bCs/>
        </w:rPr>
        <w:t xml:space="preserve"> </w:t>
      </w:r>
      <w:r w:rsidR="00C46822">
        <w:rPr>
          <w:rFonts w:eastAsia="Times New Roman"/>
          <w:bCs/>
        </w:rPr>
        <w:t>Au final, l</w:t>
      </w:r>
      <w:r w:rsidR="00B87E18">
        <w:rPr>
          <w:rFonts w:eastAsia="Times New Roman"/>
          <w:bCs/>
        </w:rPr>
        <w:t>a Commission reste bien en deçà d</w:t>
      </w:r>
      <w:r w:rsidR="00C46822">
        <w:rPr>
          <w:rFonts w:eastAsia="Times New Roman"/>
          <w:bCs/>
        </w:rPr>
        <w:t>’</w:t>
      </w:r>
      <w:r w:rsidR="00B87E18">
        <w:rPr>
          <w:rFonts w:eastAsia="Times New Roman"/>
          <w:bCs/>
        </w:rPr>
        <w:t>un « réflexe RUP ».</w:t>
      </w:r>
    </w:p>
    <w:p w14:paraId="244BC5F2" w14:textId="77777777" w:rsidR="009B69E6" w:rsidRDefault="009B69E6" w:rsidP="00FA1BEB">
      <w:pPr>
        <w:spacing w:line="276" w:lineRule="auto"/>
        <w:jc w:val="both"/>
        <w:rPr>
          <w:rFonts w:eastAsia="Times New Roman"/>
        </w:rPr>
      </w:pPr>
    </w:p>
    <w:p w14:paraId="5253BE91" w14:textId="638EB53D" w:rsidR="00685C06" w:rsidRDefault="00B87E18" w:rsidP="005D482E">
      <w:pPr>
        <w:spacing w:line="276" w:lineRule="auto"/>
        <w:ind w:firstLine="708"/>
        <w:jc w:val="both"/>
      </w:pPr>
      <w:r>
        <w:rPr>
          <w:rFonts w:eastAsia="Times New Roman"/>
        </w:rPr>
        <w:t>En revanche et s</w:t>
      </w:r>
      <w:r w:rsidR="008D0B73">
        <w:rPr>
          <w:rFonts w:eastAsia="Times New Roman"/>
        </w:rPr>
        <w:t>ymétriquement,</w:t>
      </w:r>
      <w:r w:rsidR="00437006">
        <w:t xml:space="preserve"> de leur côté, les RUP témoignent d</w:t>
      </w:r>
      <w:r w:rsidR="00C46822">
        <w:t>’</w:t>
      </w:r>
      <w:r w:rsidR="00437006">
        <w:t>un évident « réflexe Europe ».</w:t>
      </w:r>
      <w:r w:rsidR="00467918">
        <w:t xml:space="preserve"> </w:t>
      </w:r>
      <w:r w:rsidR="003D25CC">
        <w:t>Si pour elles il n</w:t>
      </w:r>
      <w:r w:rsidR="00C46822">
        <w:t>’</w:t>
      </w:r>
      <w:r w:rsidR="003D25CC">
        <w:t>est pas douteux qu</w:t>
      </w:r>
      <w:r w:rsidR="00C46822">
        <w:t>’</w:t>
      </w:r>
      <w:r w:rsidR="003D25CC">
        <w:t>elle</w:t>
      </w:r>
      <w:r w:rsidR="00C46822">
        <w:t>s</w:t>
      </w:r>
      <w:r w:rsidR="003D25CC">
        <w:t xml:space="preserve"> fasse</w:t>
      </w:r>
      <w:r w:rsidR="00C46822">
        <w:t>nt</w:t>
      </w:r>
      <w:r w:rsidR="003D25CC">
        <w:t xml:space="preserve"> partie intégrante de l</w:t>
      </w:r>
      <w:r w:rsidR="00C46822">
        <w:t>’</w:t>
      </w:r>
      <w:r w:rsidR="003D25CC">
        <w:t xml:space="preserve">Europe, elles </w:t>
      </w:r>
      <w:r w:rsidR="005D482E">
        <w:t xml:space="preserve">attendent en retour, depuis longtemps et inlassablement </w:t>
      </w:r>
      <w:r w:rsidR="003D25CC">
        <w:t>que le droit de l</w:t>
      </w:r>
      <w:r w:rsidR="00C46822">
        <w:t>’</w:t>
      </w:r>
      <w:r w:rsidR="003D25CC">
        <w:t>Union soit pensé et conçu à leur aune ; que l</w:t>
      </w:r>
      <w:r w:rsidR="00C46822">
        <w:t>’</w:t>
      </w:r>
      <w:r w:rsidR="008D0B73">
        <w:t>exception devienne</w:t>
      </w:r>
      <w:r w:rsidR="005D482E">
        <w:t xml:space="preserve"> </w:t>
      </w:r>
      <w:r w:rsidR="006C2F4B">
        <w:t>pour e</w:t>
      </w:r>
      <w:r w:rsidR="00C46822">
        <w:t>lles</w:t>
      </w:r>
      <w:r w:rsidR="006C2F4B">
        <w:t xml:space="preserve"> </w:t>
      </w:r>
      <w:r w:rsidR="005D482E">
        <w:t>commune.</w:t>
      </w:r>
    </w:p>
    <w:p w14:paraId="5DE537D7" w14:textId="0ED86639" w:rsidR="00076283" w:rsidRDefault="00076283" w:rsidP="00076283">
      <w:pPr>
        <w:spacing w:line="276" w:lineRule="auto"/>
        <w:jc w:val="both"/>
        <w:rPr>
          <w:rFonts w:eastAsia="Times New Roman"/>
        </w:rPr>
      </w:pPr>
    </w:p>
    <w:p w14:paraId="200F5F5A" w14:textId="77777777" w:rsidR="00B87E18" w:rsidRDefault="00B87E18" w:rsidP="00076283">
      <w:pPr>
        <w:spacing w:line="276" w:lineRule="auto"/>
        <w:jc w:val="both"/>
        <w:rPr>
          <w:rFonts w:eastAsia="Times New Roman"/>
        </w:rPr>
      </w:pPr>
    </w:p>
    <w:p w14:paraId="421B74E8" w14:textId="67D59534" w:rsidR="00B87E18" w:rsidRDefault="00B87E18" w:rsidP="00B87E18">
      <w:pPr>
        <w:spacing w:line="276" w:lineRule="auto"/>
        <w:ind w:firstLine="708"/>
        <w:jc w:val="both"/>
        <w:rPr>
          <w:rFonts w:eastAsia="Times New Roman"/>
        </w:rPr>
      </w:pPr>
      <w:r>
        <w:rPr>
          <w:rFonts w:eastAsia="Times New Roman"/>
          <w:bCs/>
          <w:lang w:val="fr-BE"/>
        </w:rPr>
        <w:t>Simultanément, ce mouvement emporte des répercussions internes dans la mesure où le droit français prévoit la consultation des collectivités d</w:t>
      </w:r>
      <w:r w:rsidR="00C46822">
        <w:rPr>
          <w:rFonts w:eastAsia="Times New Roman"/>
          <w:bCs/>
          <w:lang w:val="fr-BE"/>
        </w:rPr>
        <w:t>’</w:t>
      </w:r>
      <w:r>
        <w:rPr>
          <w:rFonts w:eastAsia="Times New Roman"/>
          <w:bCs/>
          <w:lang w:val="fr-BE"/>
        </w:rPr>
        <w:t>outre-mer lorsque des textes les concernant sont en discussion devant les institutions de l</w:t>
      </w:r>
      <w:r w:rsidR="00C46822">
        <w:rPr>
          <w:rFonts w:eastAsia="Times New Roman"/>
          <w:bCs/>
          <w:lang w:val="fr-BE"/>
        </w:rPr>
        <w:t>’</w:t>
      </w:r>
      <w:r>
        <w:rPr>
          <w:rFonts w:eastAsia="Times New Roman"/>
          <w:bCs/>
          <w:lang w:val="fr-BE"/>
        </w:rPr>
        <w:t>Union</w:t>
      </w:r>
      <w:r>
        <w:rPr>
          <w:rStyle w:val="Marquenotebasdepage"/>
          <w:rFonts w:eastAsia="Times New Roman"/>
          <w:bCs/>
          <w:lang w:val="fr-BE"/>
        </w:rPr>
        <w:footnoteReference w:id="104"/>
      </w:r>
      <w:r>
        <w:rPr>
          <w:rFonts w:eastAsia="Times New Roman"/>
          <w:bCs/>
          <w:lang w:val="fr-BE"/>
        </w:rPr>
        <w:t>. Il reste que la portée de ce dispositif est très initialement jugée pour l</w:t>
      </w:r>
      <w:r w:rsidR="00C46822">
        <w:rPr>
          <w:rFonts w:eastAsia="Times New Roman"/>
          <w:bCs/>
          <w:lang w:val="fr-BE"/>
        </w:rPr>
        <w:t>’</w:t>
      </w:r>
      <w:r>
        <w:rPr>
          <w:rFonts w:eastAsia="Times New Roman"/>
          <w:bCs/>
          <w:lang w:val="fr-BE"/>
        </w:rPr>
        <w:t>essentiel comme symbolique</w:t>
      </w:r>
      <w:r>
        <w:rPr>
          <w:rStyle w:val="Marquenotebasdepage"/>
          <w:rFonts w:eastAsia="Times New Roman"/>
          <w:bCs/>
          <w:lang w:val="fr-BE"/>
        </w:rPr>
        <w:footnoteReference w:id="105"/>
      </w:r>
      <w:r>
        <w:rPr>
          <w:rFonts w:eastAsia="Times New Roman"/>
          <w:bCs/>
          <w:lang w:val="fr-BE"/>
        </w:rPr>
        <w:t>.</w:t>
      </w:r>
    </w:p>
    <w:p w14:paraId="08C9D5CB" w14:textId="77777777" w:rsidR="00B87E18" w:rsidRDefault="00B87E18" w:rsidP="00076283">
      <w:pPr>
        <w:spacing w:line="276" w:lineRule="auto"/>
        <w:jc w:val="both"/>
        <w:rPr>
          <w:rFonts w:eastAsia="Times New Roman"/>
        </w:rPr>
      </w:pPr>
    </w:p>
    <w:p w14:paraId="55BB36F8" w14:textId="1C4457B8" w:rsidR="00DF7A01" w:rsidRDefault="00DF7A01" w:rsidP="00DF7A01">
      <w:pPr>
        <w:rPr>
          <w:rFonts w:eastAsia="Times New Roman"/>
        </w:rPr>
      </w:pPr>
      <w:r>
        <w:rPr>
          <w:rFonts w:eastAsia="Times New Roman"/>
        </w:rPr>
        <w:br w:type="page"/>
      </w:r>
    </w:p>
    <w:p w14:paraId="76533027" w14:textId="5F34514A" w:rsidR="00DF7A01" w:rsidRDefault="00DF7A01" w:rsidP="00DF7A01">
      <w:pPr>
        <w:jc w:val="center"/>
        <w:rPr>
          <w:rFonts w:eastAsia="Times New Roman"/>
        </w:rPr>
      </w:pPr>
      <w:r>
        <w:rPr>
          <w:rFonts w:eastAsia="Times New Roman"/>
        </w:rPr>
        <w:lastRenderedPageBreak/>
        <w:t>Annexes</w:t>
      </w:r>
    </w:p>
    <w:p w14:paraId="706B4B4A" w14:textId="77777777" w:rsidR="00DF7A01" w:rsidRDefault="00DF7A01" w:rsidP="00DF7A01">
      <w:pPr>
        <w:jc w:val="center"/>
        <w:rPr>
          <w:rFonts w:eastAsia="Times New Roman"/>
        </w:rPr>
      </w:pPr>
    </w:p>
    <w:p w14:paraId="507F5F85" w14:textId="751F6403" w:rsidR="00DF7A01" w:rsidRDefault="00DF7A01" w:rsidP="00DF7A01">
      <w:pPr>
        <w:jc w:val="center"/>
        <w:rPr>
          <w:rFonts w:eastAsia="Times New Roman"/>
        </w:rPr>
      </w:pPr>
      <w:r w:rsidRPr="00DF7A01">
        <w:rPr>
          <w:rFonts w:eastAsia="Times New Roman"/>
        </w:rPr>
        <w:t>Article 299</w:t>
      </w:r>
      <w:r>
        <w:rPr>
          <w:rFonts w:eastAsia="Times New Roman"/>
        </w:rPr>
        <w:t xml:space="preserve"> § 2 du traité instituant le Communauté européenne</w:t>
      </w:r>
    </w:p>
    <w:p w14:paraId="128024C7" w14:textId="77777777" w:rsidR="00DF7A01" w:rsidRDefault="00DF7A01" w:rsidP="00DF7A01">
      <w:pPr>
        <w:jc w:val="center"/>
        <w:rPr>
          <w:rFonts w:eastAsia="Times New Roman"/>
        </w:rPr>
      </w:pPr>
    </w:p>
    <w:p w14:paraId="75090A15" w14:textId="77777777" w:rsidR="00DF7A01" w:rsidRPr="00DF7A01" w:rsidRDefault="00DF7A01" w:rsidP="00DF7A01">
      <w:pPr>
        <w:jc w:val="both"/>
        <w:rPr>
          <w:rFonts w:eastAsia="Times New Roman"/>
        </w:rPr>
      </w:pPr>
      <w:r w:rsidRPr="00DF7A01">
        <w:rPr>
          <w:rFonts w:eastAsia="Times New Roman"/>
        </w:rPr>
        <w:t>2. Les dispositions du présent traité sont applicables aux départements français d'outre-mer, aux Açores, à Madère et aux îles Canaries.</w:t>
      </w:r>
    </w:p>
    <w:p w14:paraId="76D4CDE6" w14:textId="77777777" w:rsidR="00DF7A01" w:rsidRPr="00DF7A01" w:rsidRDefault="00DF7A01" w:rsidP="00DF7A01">
      <w:pPr>
        <w:jc w:val="both"/>
        <w:rPr>
          <w:rFonts w:eastAsia="Times New Roman"/>
        </w:rPr>
      </w:pPr>
      <w:r w:rsidRPr="00DF7A01">
        <w:rPr>
          <w:rFonts w:eastAsia="Times New Roman"/>
        </w:rPr>
        <w:t>Toutefois, compte tenu de la situation économique et sociale structurelle des départements français d'outre-mer, des Açores, de Madère et des îles Canaries, qui est aggravée par leur éloignement, l'insularité, leur faible superficie, le relief et le climat difficiles, leur dépendance économique vis-à-vis d'un petit nombre de produits, facteurs dont la permanence et la combinaison nuisent gravement à leur développement, le Conseil, statuant à la majorité qualifiée sur proposition de la Commission et après consultation du Parlement européen, arrête des mesures spécifiques visant, en particulier, à fixer les conditions de l'application du présent traité à ces régions, y compris les politiques communes.</w:t>
      </w:r>
    </w:p>
    <w:p w14:paraId="5CEBDD93" w14:textId="77777777" w:rsidR="00DF7A01" w:rsidRPr="00DF7A01" w:rsidRDefault="00DF7A01" w:rsidP="00DF7A01">
      <w:pPr>
        <w:jc w:val="both"/>
        <w:rPr>
          <w:rFonts w:eastAsia="Times New Roman"/>
        </w:rPr>
      </w:pPr>
      <w:r w:rsidRPr="00DF7A01">
        <w:rPr>
          <w:rFonts w:eastAsia="Times New Roman"/>
        </w:rPr>
        <w:t>Le Conseil, en arrêtant les mesures visées au deuxième alinéa, tient compte des domaines tels que les politiques douanières et commerciales, la politique fiscale, les zones franches, les politiques dans les domaines de l'agriculture et de la pêche, les conditions d'approvisionnement en matières premières et en biens de consommation de première nécessité, les aides d'État, et les conditions d'accès aux fonds structurels et aux programmes horizontaux de la Communauté.</w:t>
      </w:r>
    </w:p>
    <w:p w14:paraId="5FA03554" w14:textId="77777777" w:rsidR="00DF7A01" w:rsidRPr="00DF7A01" w:rsidRDefault="00DF7A01" w:rsidP="00DF7A01">
      <w:pPr>
        <w:jc w:val="both"/>
        <w:rPr>
          <w:rFonts w:eastAsia="Times New Roman"/>
        </w:rPr>
      </w:pPr>
      <w:r w:rsidRPr="00DF7A01">
        <w:rPr>
          <w:rFonts w:eastAsia="Times New Roman"/>
        </w:rPr>
        <w:t>Le Conseil arrête les mesures visées au deuxième alinéa en tenant compte des caractéristiques et contraintes particulières des régions ultrapériphériques sans nuire à l'intégrité et à la cohérence de l'ordre juridique communautaire, y compris le marché intérieur et les politiques communes.</w:t>
      </w:r>
    </w:p>
    <w:p w14:paraId="04E5E632" w14:textId="77777777" w:rsidR="00DF7A01" w:rsidRDefault="00DF7A01" w:rsidP="00DF7A01">
      <w:pPr>
        <w:jc w:val="both"/>
        <w:rPr>
          <w:rFonts w:eastAsia="Times New Roman"/>
        </w:rPr>
      </w:pPr>
    </w:p>
    <w:p w14:paraId="6C29D1B0" w14:textId="4634465E" w:rsidR="00DF7A01" w:rsidRDefault="00DF7A01" w:rsidP="00DF7A01">
      <w:pPr>
        <w:jc w:val="center"/>
        <w:rPr>
          <w:rFonts w:eastAsia="Times New Roman"/>
        </w:rPr>
      </w:pPr>
      <w:r w:rsidRPr="00DF7A01">
        <w:rPr>
          <w:rFonts w:eastAsia="Times New Roman"/>
        </w:rPr>
        <w:t>Article 349</w:t>
      </w:r>
      <w:r>
        <w:rPr>
          <w:rFonts w:eastAsia="Times New Roman"/>
        </w:rPr>
        <w:t xml:space="preserve"> du traité sur le fonctionnement de l’Union européenne </w:t>
      </w:r>
    </w:p>
    <w:p w14:paraId="0BA9F747" w14:textId="77777777" w:rsidR="00DF7A01" w:rsidRPr="00DF7A01" w:rsidRDefault="00DF7A01" w:rsidP="00DF7A01">
      <w:pPr>
        <w:jc w:val="center"/>
        <w:rPr>
          <w:rFonts w:eastAsia="Times New Roman"/>
        </w:rPr>
      </w:pPr>
    </w:p>
    <w:p w14:paraId="0A2A0231" w14:textId="77777777" w:rsidR="00DF7A01" w:rsidRPr="00DF7A01" w:rsidRDefault="00DF7A01" w:rsidP="00DF7A01">
      <w:pPr>
        <w:jc w:val="both"/>
        <w:rPr>
          <w:rFonts w:eastAsia="Times New Roman"/>
        </w:rPr>
      </w:pPr>
      <w:r w:rsidRPr="00DF7A01">
        <w:rPr>
          <w:rFonts w:eastAsia="Times New Roman"/>
        </w:rPr>
        <w:t>Compte tenu de la situation économique et sociale structurelle de la Guadeloupe, de la Guyane française, de la Martinique, de la Réunion, de Saint-Barthélemy, de Saint-Martin, des Açores, de Madère et des îles Canaries, qui est aggravée par leur éloignement, l'insularité, leur faible superficie, le relief et le climat difficiles, leur dépendance économique vis-à-vis d'un petit nombre de produits, facteurs dont la permanence et la combinaison nuisent gravement à leur développement, le Conseil, sur proposition de la Commission et après consultation du Parlement européen, arrête des mesures spécifiques visant, en particulier, à fixer les conditions de l'application des traités à ces régions, y compris les politiques communes. Lorsque les mesures spécifiques en question sont adoptées par le Conseil conformément à une procédure législative spéciale, il statue également sur proposition de la Commission et après consultation du Parlement européen.</w:t>
      </w:r>
    </w:p>
    <w:p w14:paraId="08A2D58A" w14:textId="77777777" w:rsidR="00DF7A01" w:rsidRPr="00DF7A01" w:rsidRDefault="00DF7A01" w:rsidP="00DF7A01">
      <w:pPr>
        <w:jc w:val="both"/>
        <w:rPr>
          <w:rFonts w:eastAsia="Times New Roman"/>
        </w:rPr>
      </w:pPr>
      <w:r w:rsidRPr="00DF7A01">
        <w:rPr>
          <w:rFonts w:eastAsia="Times New Roman"/>
        </w:rPr>
        <w:t>Les mesures visées au premier alinéa portent notamment sur les politiques douanières et commerciales, la politique fiscale, les zones franches, les politiques dans les domaines de l'agriculture et de la pêche, les conditions d'approvisionnement en matières premières et en biens de consommation de première nécessité, les aides d'État, et les conditions d'accès aux fonds structurels et aux programmes horizontaux de l'Union.</w:t>
      </w:r>
    </w:p>
    <w:p w14:paraId="69E6CA66" w14:textId="77777777" w:rsidR="00DF7A01" w:rsidRPr="00DF7A01" w:rsidRDefault="00DF7A01" w:rsidP="00DF7A01">
      <w:pPr>
        <w:jc w:val="both"/>
        <w:rPr>
          <w:rFonts w:eastAsia="Times New Roman"/>
        </w:rPr>
      </w:pPr>
      <w:r w:rsidRPr="00DF7A01">
        <w:rPr>
          <w:rFonts w:eastAsia="Times New Roman"/>
        </w:rPr>
        <w:t>Le Conseil arrête les mesures visées au premier alinéa en tenant compte des caractéristiques et contraintes particulières des régions ultrapériphériques sans nuire à l'intégrité et à la cohérence de l'ordre juridique de l'Union, y compris le marché intérieur et les politiques communes.</w:t>
      </w:r>
    </w:p>
    <w:p w14:paraId="55EF9EE5" w14:textId="77777777" w:rsidR="00DF7A01" w:rsidRPr="00DF7A01" w:rsidRDefault="00DF7A01" w:rsidP="00DF7A01">
      <w:pPr>
        <w:jc w:val="both"/>
        <w:rPr>
          <w:rFonts w:eastAsia="Times New Roman"/>
        </w:rPr>
      </w:pPr>
    </w:p>
    <w:p w14:paraId="3A012D97" w14:textId="11993785" w:rsidR="00DF7A01" w:rsidRDefault="00DF7A01" w:rsidP="00DF7A01">
      <w:pPr>
        <w:jc w:val="center"/>
        <w:rPr>
          <w:rFonts w:eastAsia="Times New Roman"/>
        </w:rPr>
      </w:pPr>
      <w:r w:rsidRPr="00DF7A01">
        <w:rPr>
          <w:rFonts w:eastAsia="Times New Roman"/>
        </w:rPr>
        <w:t xml:space="preserve">Article 355 </w:t>
      </w:r>
      <w:r>
        <w:rPr>
          <w:rFonts w:eastAsia="Times New Roman"/>
        </w:rPr>
        <w:t>du traité sur le fonctionnement de l’Union européenne</w:t>
      </w:r>
    </w:p>
    <w:p w14:paraId="2AA80A90" w14:textId="77777777" w:rsidR="00DF7A01" w:rsidRDefault="00DF7A01" w:rsidP="00DF7A01">
      <w:pPr>
        <w:jc w:val="center"/>
        <w:rPr>
          <w:rFonts w:eastAsia="Times New Roman"/>
        </w:rPr>
      </w:pPr>
    </w:p>
    <w:p w14:paraId="3654F075" w14:textId="2E7C4BFA" w:rsidR="00DF7A01" w:rsidRPr="00DF7A01" w:rsidRDefault="00DF7A01" w:rsidP="00DF7A01">
      <w:pPr>
        <w:jc w:val="both"/>
        <w:rPr>
          <w:rFonts w:eastAsia="Times New Roman"/>
        </w:rPr>
      </w:pPr>
      <w:r w:rsidRPr="00DF7A01">
        <w:rPr>
          <w:rFonts w:eastAsia="Times New Roman"/>
        </w:rPr>
        <w:t>Outre les dispositions de l'article 52 du traité sur l'Union européenne relatives au champ d'application territoriale des traités, les dispositions suivantes s'ap</w:t>
      </w:r>
      <w:r>
        <w:rPr>
          <w:rFonts w:eastAsia="Times New Roman"/>
        </w:rPr>
        <w:t>pliquent :</w:t>
      </w:r>
    </w:p>
    <w:p w14:paraId="73999B08" w14:textId="77777777" w:rsidR="00DF7A01" w:rsidRPr="00DF7A01" w:rsidRDefault="00DF7A01" w:rsidP="00DF7A01">
      <w:pPr>
        <w:jc w:val="both"/>
        <w:rPr>
          <w:rFonts w:eastAsia="Times New Roman"/>
        </w:rPr>
      </w:pPr>
      <w:r w:rsidRPr="00DF7A01">
        <w:rPr>
          <w:rFonts w:eastAsia="Times New Roman"/>
        </w:rPr>
        <w:t>1. Les dispositions des traités sont applicables à la Guadeloupe, à la Guyane française, à la Martinique, à la Réunion, à Saint-Barthélemy, à Saint-Martin, aux Açores, à Madère et aux îles Canaries, conformément à l'article 349.</w:t>
      </w:r>
    </w:p>
    <w:p w14:paraId="3A2799CE" w14:textId="717B84F1" w:rsidR="00DF7A01" w:rsidRPr="005D482E" w:rsidRDefault="00DF7A01" w:rsidP="00DF7A01">
      <w:pPr>
        <w:spacing w:line="276" w:lineRule="auto"/>
        <w:jc w:val="center"/>
        <w:rPr>
          <w:rFonts w:eastAsia="Times New Roman"/>
        </w:rPr>
      </w:pPr>
      <w:r>
        <w:rPr>
          <w:rFonts w:eastAsia="Times New Roman"/>
        </w:rPr>
        <w:t>***</w:t>
      </w:r>
    </w:p>
    <w:sectPr w:rsidR="00DF7A01" w:rsidRPr="005D482E" w:rsidSect="00DF7A01">
      <w:footerReference w:type="even"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DCAE2" w14:textId="77777777" w:rsidR="00835DD6" w:rsidRDefault="00835DD6" w:rsidP="006F4105">
      <w:r>
        <w:separator/>
      </w:r>
    </w:p>
  </w:endnote>
  <w:endnote w:type="continuationSeparator" w:id="0">
    <w:p w14:paraId="344DB040" w14:textId="77777777" w:rsidR="00835DD6" w:rsidRDefault="00835DD6" w:rsidP="006F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tling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Yu Mincho">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D256E" w14:textId="77777777" w:rsidR="00835DD6" w:rsidRDefault="00835DD6" w:rsidP="008815F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3D3B69" w14:textId="77777777" w:rsidR="00835DD6" w:rsidRDefault="00835DD6" w:rsidP="00AC52C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ADC52" w14:textId="77777777" w:rsidR="00835DD6" w:rsidRDefault="00835DD6" w:rsidP="008815F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80493">
      <w:rPr>
        <w:rStyle w:val="Numrodepage"/>
        <w:noProof/>
      </w:rPr>
      <w:t>3</w:t>
    </w:r>
    <w:r>
      <w:rPr>
        <w:rStyle w:val="Numrodepage"/>
      </w:rPr>
      <w:fldChar w:fldCharType="end"/>
    </w:r>
  </w:p>
  <w:p w14:paraId="79689D63" w14:textId="77777777" w:rsidR="00835DD6" w:rsidRDefault="00835DD6" w:rsidP="00AC52C6">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D4BA6" w14:textId="77777777" w:rsidR="00835DD6" w:rsidRDefault="00835DD6" w:rsidP="006F4105">
      <w:r>
        <w:separator/>
      </w:r>
    </w:p>
  </w:footnote>
  <w:footnote w:type="continuationSeparator" w:id="0">
    <w:p w14:paraId="2B986995" w14:textId="77777777" w:rsidR="00835DD6" w:rsidRDefault="00835DD6" w:rsidP="006F4105">
      <w:r>
        <w:continuationSeparator/>
      </w:r>
    </w:p>
  </w:footnote>
  <w:footnote w:id="1">
    <w:p w14:paraId="04B3A3D5" w14:textId="24BB99D6" w:rsidR="00835DD6" w:rsidRPr="000E4647" w:rsidRDefault="00835DD6">
      <w:pPr>
        <w:pStyle w:val="Notedebasdepage"/>
        <w:rPr>
          <w:szCs w:val="20"/>
        </w:rPr>
      </w:pPr>
      <w:r w:rsidRPr="000E4647">
        <w:rPr>
          <w:rStyle w:val="Marquenotebasdepage"/>
          <w:szCs w:val="20"/>
        </w:rPr>
        <w:footnoteRef/>
      </w:r>
      <w:r w:rsidRPr="000E4647">
        <w:rPr>
          <w:szCs w:val="20"/>
        </w:rPr>
        <w:t xml:space="preserve"> J. Gracq, </w:t>
      </w:r>
      <w:r w:rsidRPr="000E4647">
        <w:rPr>
          <w:i/>
          <w:szCs w:val="20"/>
        </w:rPr>
        <w:t>Le rivage des syrtes</w:t>
      </w:r>
      <w:r w:rsidRPr="000E4647">
        <w:rPr>
          <w:szCs w:val="20"/>
        </w:rPr>
        <w:t>, Paris, José Corti, 1989, p. 228.</w:t>
      </w:r>
    </w:p>
  </w:footnote>
  <w:footnote w:id="2">
    <w:p w14:paraId="3AC447C9" w14:textId="73501874" w:rsidR="00835DD6" w:rsidRPr="000E4647" w:rsidRDefault="00835DD6" w:rsidP="00A72CED">
      <w:pPr>
        <w:pStyle w:val="NBP"/>
      </w:pPr>
      <w:r w:rsidRPr="000E4647">
        <w:rPr>
          <w:rStyle w:val="Marquenotebasdepage"/>
        </w:rPr>
        <w:footnoteRef/>
      </w:r>
      <w:r w:rsidRPr="000E4647">
        <w:t xml:space="preserve"> F. Saint-Bonnet, « Exception, nécessité, urgence », in D. </w:t>
      </w:r>
      <w:proofErr w:type="spellStart"/>
      <w:r w:rsidRPr="000E4647">
        <w:t>Alland</w:t>
      </w:r>
      <w:proofErr w:type="spellEnd"/>
      <w:r w:rsidRPr="000E4647">
        <w:t xml:space="preserve"> et S. Rials, </w:t>
      </w:r>
      <w:r w:rsidRPr="000E4647">
        <w:rPr>
          <w:i/>
        </w:rPr>
        <w:t>Dictionnaire de la culture juridique</w:t>
      </w:r>
      <w:r w:rsidRPr="000E4647">
        <w:t>, Paris, PUF, Lamy, 2003, p. 673.</w:t>
      </w:r>
    </w:p>
  </w:footnote>
  <w:footnote w:id="3">
    <w:p w14:paraId="3A75AE9D" w14:textId="1E15C202" w:rsidR="00835DD6" w:rsidRPr="000E4647" w:rsidRDefault="00835DD6">
      <w:pPr>
        <w:pStyle w:val="Notedebasdepage"/>
        <w:rPr>
          <w:szCs w:val="20"/>
        </w:rPr>
      </w:pPr>
      <w:r w:rsidRPr="000E4647">
        <w:rPr>
          <w:rStyle w:val="Marquenotebasdepage"/>
          <w:szCs w:val="20"/>
        </w:rPr>
        <w:footnoteRef/>
      </w:r>
      <w:r w:rsidRPr="000E4647">
        <w:rPr>
          <w:szCs w:val="20"/>
        </w:rPr>
        <w:t xml:space="preserve"> </w:t>
      </w:r>
      <w:r w:rsidRPr="000E4647">
        <w:rPr>
          <w:i/>
          <w:szCs w:val="20"/>
        </w:rPr>
        <w:t>Ibid</w:t>
      </w:r>
      <w:r w:rsidRPr="000E4647">
        <w:rPr>
          <w:szCs w:val="20"/>
        </w:rPr>
        <w:t>., p. 674.</w:t>
      </w:r>
    </w:p>
  </w:footnote>
  <w:footnote w:id="4">
    <w:p w14:paraId="0D85EE10" w14:textId="36342083" w:rsidR="00835DD6" w:rsidRPr="000E4647" w:rsidRDefault="00835DD6">
      <w:pPr>
        <w:pStyle w:val="Notedebasdepage"/>
        <w:rPr>
          <w:szCs w:val="20"/>
        </w:rPr>
      </w:pPr>
      <w:r w:rsidRPr="000E4647">
        <w:rPr>
          <w:rStyle w:val="Marquenotebasdepage"/>
          <w:szCs w:val="20"/>
        </w:rPr>
        <w:footnoteRef/>
      </w:r>
      <w:r w:rsidRPr="000E4647">
        <w:rPr>
          <w:szCs w:val="20"/>
        </w:rPr>
        <w:t xml:space="preserve"> Sur cette notion : P.-Y. Monjal, « A la recherche d</w:t>
      </w:r>
      <w:r>
        <w:rPr>
          <w:szCs w:val="20"/>
        </w:rPr>
        <w:t>’</w:t>
      </w:r>
      <w:r w:rsidRPr="000E4647">
        <w:rPr>
          <w:szCs w:val="20"/>
        </w:rPr>
        <w:t xml:space="preserve">une notion perdue : ”le commun”, in P.-Y. Monjal et E. Neframi (dir.), </w:t>
      </w:r>
      <w:r w:rsidRPr="000E4647">
        <w:rPr>
          <w:i/>
          <w:szCs w:val="20"/>
        </w:rPr>
        <w:t>Le commun dans l</w:t>
      </w:r>
      <w:r>
        <w:rPr>
          <w:i/>
          <w:szCs w:val="20"/>
        </w:rPr>
        <w:t>’</w:t>
      </w:r>
      <w:r w:rsidRPr="000E4647">
        <w:rPr>
          <w:i/>
          <w:szCs w:val="20"/>
        </w:rPr>
        <w:t>Union européenne</w:t>
      </w:r>
      <w:r w:rsidRPr="000E4647">
        <w:rPr>
          <w:szCs w:val="20"/>
        </w:rPr>
        <w:t>, Bruxelles, Bruylant, 2009, p. 7 et s.</w:t>
      </w:r>
    </w:p>
  </w:footnote>
  <w:footnote w:id="5">
    <w:p w14:paraId="57BD59B3" w14:textId="04551FAA" w:rsidR="00835DD6" w:rsidRPr="000E4647" w:rsidRDefault="00835DD6">
      <w:pPr>
        <w:pStyle w:val="Notedebasdepage"/>
        <w:rPr>
          <w:szCs w:val="20"/>
        </w:rPr>
      </w:pPr>
      <w:r w:rsidRPr="000E4647">
        <w:rPr>
          <w:rStyle w:val="Marquenotebasdepage"/>
          <w:szCs w:val="20"/>
        </w:rPr>
        <w:footnoteRef/>
      </w:r>
      <w:r w:rsidRPr="000E4647">
        <w:rPr>
          <w:szCs w:val="20"/>
        </w:rPr>
        <w:t xml:space="preserve"> V. R. Mehdi et E. </w:t>
      </w:r>
      <w:proofErr w:type="spellStart"/>
      <w:r w:rsidRPr="000E4647">
        <w:rPr>
          <w:szCs w:val="20"/>
        </w:rPr>
        <w:t>Brosset</w:t>
      </w:r>
      <w:proofErr w:type="spellEnd"/>
      <w:r w:rsidRPr="000E4647">
        <w:rPr>
          <w:szCs w:val="20"/>
        </w:rPr>
        <w:t>, « De quoi le droit de l</w:t>
      </w:r>
      <w:r>
        <w:rPr>
          <w:szCs w:val="20"/>
        </w:rPr>
        <w:t>’</w:t>
      </w:r>
      <w:r w:rsidRPr="000E4647">
        <w:rPr>
          <w:szCs w:val="20"/>
        </w:rPr>
        <w:t>Union est-il le nom ? A propos du droit de l</w:t>
      </w:r>
      <w:r>
        <w:rPr>
          <w:szCs w:val="20"/>
        </w:rPr>
        <w:t>’</w:t>
      </w:r>
      <w:r w:rsidRPr="000E4647">
        <w:rPr>
          <w:szCs w:val="20"/>
        </w:rPr>
        <w:t xml:space="preserve">Union en tant que droit commun des Etats membres », in B. Bonnet (dir.), </w:t>
      </w:r>
      <w:r w:rsidRPr="000E4647">
        <w:rPr>
          <w:i/>
          <w:szCs w:val="20"/>
        </w:rPr>
        <w:t>Traité des rapports juridiques</w:t>
      </w:r>
      <w:r w:rsidRPr="000E4647">
        <w:rPr>
          <w:szCs w:val="20"/>
        </w:rPr>
        <w:t>, Paris, LGDJ, 2016, p. 669 et s.</w:t>
      </w:r>
    </w:p>
  </w:footnote>
  <w:footnote w:id="6">
    <w:p w14:paraId="2B43AF77" w14:textId="221B1F6E" w:rsidR="00835DD6" w:rsidRPr="000E4647" w:rsidRDefault="00835DD6">
      <w:pPr>
        <w:pStyle w:val="Notedebasdepage"/>
        <w:rPr>
          <w:szCs w:val="20"/>
        </w:rPr>
      </w:pPr>
      <w:r w:rsidRPr="000E4647">
        <w:rPr>
          <w:rStyle w:val="Marquenotebasdepage"/>
          <w:szCs w:val="20"/>
        </w:rPr>
        <w:footnoteRef/>
      </w:r>
      <w:r w:rsidRPr="000E4647">
        <w:rPr>
          <w:szCs w:val="20"/>
        </w:rPr>
        <w:t xml:space="preserve"> Pour certains auteurs, la dérogation au sens strict n</w:t>
      </w:r>
      <w:r>
        <w:rPr>
          <w:szCs w:val="20"/>
        </w:rPr>
        <w:t>’</w:t>
      </w:r>
      <w:r w:rsidRPr="000E4647">
        <w:rPr>
          <w:szCs w:val="20"/>
        </w:rPr>
        <w:t>est pas une forme de l</w:t>
      </w:r>
      <w:r>
        <w:rPr>
          <w:szCs w:val="20"/>
        </w:rPr>
        <w:t>’</w:t>
      </w:r>
      <w:r w:rsidRPr="000E4647">
        <w:rPr>
          <w:szCs w:val="20"/>
        </w:rPr>
        <w:t xml:space="preserve">exception, mais en est distincte, : v. G. Cornu, Association Henri Capitant, </w:t>
      </w:r>
      <w:r w:rsidRPr="000E4647">
        <w:rPr>
          <w:i/>
          <w:szCs w:val="20"/>
        </w:rPr>
        <w:t>Dictionnaire de vocabulaire juridique</w:t>
      </w:r>
      <w:r w:rsidRPr="000E4647">
        <w:rPr>
          <w:szCs w:val="20"/>
        </w:rPr>
        <w:t>, Paris, PUF, 2016, 11</w:t>
      </w:r>
      <w:r w:rsidRPr="000E4647">
        <w:rPr>
          <w:szCs w:val="20"/>
          <w:vertAlign w:val="superscript"/>
        </w:rPr>
        <w:t>ème</w:t>
      </w:r>
      <w:r w:rsidRPr="000E4647">
        <w:rPr>
          <w:szCs w:val="20"/>
        </w:rPr>
        <w:t xml:space="preserve"> </w:t>
      </w:r>
      <w:proofErr w:type="spellStart"/>
      <w:r w:rsidRPr="000E4647">
        <w:rPr>
          <w:szCs w:val="20"/>
        </w:rPr>
        <w:t>ed</w:t>
      </w:r>
      <w:proofErr w:type="spellEnd"/>
      <w:r w:rsidRPr="000E4647">
        <w:rPr>
          <w:szCs w:val="20"/>
        </w:rPr>
        <w:t>., p. 336.</w:t>
      </w:r>
    </w:p>
  </w:footnote>
  <w:footnote w:id="7">
    <w:p w14:paraId="43F3E25B" w14:textId="38F3F7F2" w:rsidR="00835DD6" w:rsidRPr="000E4647" w:rsidRDefault="00835DD6">
      <w:pPr>
        <w:pStyle w:val="Notedebasdepage"/>
        <w:rPr>
          <w:szCs w:val="20"/>
        </w:rPr>
      </w:pPr>
      <w:r w:rsidRPr="000E4647">
        <w:rPr>
          <w:rStyle w:val="Marquenotebasdepage"/>
          <w:szCs w:val="20"/>
        </w:rPr>
        <w:footnoteRef/>
      </w:r>
      <w:r w:rsidRPr="000E4647">
        <w:rPr>
          <w:szCs w:val="20"/>
        </w:rPr>
        <w:t xml:space="preserve"> I. Vestris,</w:t>
      </w:r>
      <w:r w:rsidRPr="000E4647">
        <w:rPr>
          <w:i/>
          <w:szCs w:val="20"/>
        </w:rPr>
        <w:t xml:space="preserve"> Le statut des régions ultrapériphériques de l</w:t>
      </w:r>
      <w:r>
        <w:rPr>
          <w:i/>
          <w:szCs w:val="20"/>
        </w:rPr>
        <w:t>’</w:t>
      </w:r>
      <w:r w:rsidRPr="000E4647">
        <w:rPr>
          <w:i/>
          <w:szCs w:val="20"/>
        </w:rPr>
        <w:t>Union européenne</w:t>
      </w:r>
      <w:r w:rsidRPr="000E4647">
        <w:rPr>
          <w:szCs w:val="20"/>
        </w:rPr>
        <w:t>, Bruxelles, Bruylant, 2012, p. 31.</w:t>
      </w:r>
    </w:p>
  </w:footnote>
  <w:footnote w:id="8">
    <w:p w14:paraId="0D35D241" w14:textId="07BDE0E0" w:rsidR="00835DD6" w:rsidRPr="000E4647" w:rsidRDefault="00835DD6" w:rsidP="0086723A">
      <w:pPr>
        <w:pStyle w:val="Notedebasdepage"/>
        <w:rPr>
          <w:szCs w:val="20"/>
        </w:rPr>
      </w:pPr>
      <w:r w:rsidRPr="000E4647">
        <w:rPr>
          <w:rStyle w:val="Marquenotebasdepage"/>
          <w:szCs w:val="20"/>
        </w:rPr>
        <w:footnoteRef/>
      </w:r>
      <w:r w:rsidRPr="000E4647">
        <w:rPr>
          <w:szCs w:val="20"/>
        </w:rPr>
        <w:t xml:space="preserve"> Le choix de cette expression est fait par commodités, ainsi que le souligne J. Ziller, juridiquement l</w:t>
      </w:r>
      <w:r>
        <w:rPr>
          <w:szCs w:val="20"/>
        </w:rPr>
        <w:t>’</w:t>
      </w:r>
      <w:r w:rsidRPr="000E4647">
        <w:rPr>
          <w:szCs w:val="20"/>
        </w:rPr>
        <w:t>Union européenne n</w:t>
      </w:r>
      <w:r>
        <w:rPr>
          <w:szCs w:val="20"/>
        </w:rPr>
        <w:t>’</w:t>
      </w:r>
      <w:r w:rsidRPr="000E4647">
        <w:rPr>
          <w:szCs w:val="20"/>
        </w:rPr>
        <w:t>a pas de territoire (mais un champ d</w:t>
      </w:r>
      <w:r>
        <w:rPr>
          <w:szCs w:val="20"/>
        </w:rPr>
        <w:t>’</w:t>
      </w:r>
      <w:r w:rsidRPr="000E4647">
        <w:rPr>
          <w:szCs w:val="20"/>
        </w:rPr>
        <w:t>application territorial) et les seuls outre-mer mentionnés sont les « pays et territoires d</w:t>
      </w:r>
      <w:r>
        <w:rPr>
          <w:szCs w:val="20"/>
        </w:rPr>
        <w:t>’</w:t>
      </w:r>
      <w:r w:rsidRPr="000E4647">
        <w:rPr>
          <w:szCs w:val="20"/>
        </w:rPr>
        <w:t>outre-mer » (PTOM) associés à l</w:t>
      </w:r>
      <w:r>
        <w:rPr>
          <w:szCs w:val="20"/>
        </w:rPr>
        <w:t>’</w:t>
      </w:r>
      <w:r w:rsidRPr="000E4647">
        <w:rPr>
          <w:szCs w:val="20"/>
        </w:rPr>
        <w:t>Union sur la base de la quatrième partie du Traité sur le fonctionnement de l</w:t>
      </w:r>
      <w:r>
        <w:rPr>
          <w:szCs w:val="20"/>
        </w:rPr>
        <w:t>’</w:t>
      </w:r>
      <w:r w:rsidRPr="000E4647">
        <w:rPr>
          <w:szCs w:val="20"/>
        </w:rPr>
        <w:t>Union européenne (TFUE) et de l</w:t>
      </w:r>
      <w:r>
        <w:rPr>
          <w:szCs w:val="20"/>
        </w:rPr>
        <w:t>’</w:t>
      </w:r>
      <w:r w:rsidRPr="000E4647">
        <w:rPr>
          <w:szCs w:val="20"/>
        </w:rPr>
        <w:t xml:space="preserve">annexe II aux traités </w:t>
      </w:r>
      <w:proofErr w:type="spellStart"/>
      <w:r w:rsidRPr="000E4647">
        <w:rPr>
          <w:szCs w:val="20"/>
        </w:rPr>
        <w:t>institutifs</w:t>
      </w:r>
      <w:proofErr w:type="spellEnd"/>
      <w:r w:rsidRPr="000E4647">
        <w:rPr>
          <w:szCs w:val="20"/>
        </w:rPr>
        <w:t>. « Les ”outre-mer de l</w:t>
      </w:r>
      <w:r>
        <w:rPr>
          <w:szCs w:val="20"/>
        </w:rPr>
        <w:t>’</w:t>
      </w:r>
      <w:r w:rsidRPr="000E4647">
        <w:rPr>
          <w:szCs w:val="20"/>
        </w:rPr>
        <w:t xml:space="preserve">Union européenne” », </w:t>
      </w:r>
      <w:r w:rsidRPr="000E4647">
        <w:rPr>
          <w:i/>
          <w:szCs w:val="20"/>
        </w:rPr>
        <w:t>Rev. UE</w:t>
      </w:r>
      <w:r w:rsidRPr="000E4647">
        <w:rPr>
          <w:szCs w:val="20"/>
        </w:rPr>
        <w:t>, 2017, n° 610, p. 408.</w:t>
      </w:r>
    </w:p>
  </w:footnote>
  <w:footnote w:id="9">
    <w:p w14:paraId="30BF5735" w14:textId="79FDE9A9" w:rsidR="00835DD6" w:rsidRPr="000E4647" w:rsidRDefault="00835DD6">
      <w:pPr>
        <w:pStyle w:val="Notedebasdepage"/>
        <w:rPr>
          <w:szCs w:val="20"/>
        </w:rPr>
      </w:pPr>
      <w:r w:rsidRPr="000E4647">
        <w:rPr>
          <w:rStyle w:val="Marquenotebasdepage"/>
          <w:szCs w:val="20"/>
        </w:rPr>
        <w:footnoteRef/>
      </w:r>
      <w:r w:rsidRPr="000E4647">
        <w:rPr>
          <w:szCs w:val="20"/>
        </w:rPr>
        <w:t xml:space="preserve"> V. J.-V. Louis et Ph. Manin (dir.), </w:t>
      </w:r>
      <w:r w:rsidRPr="000E4647">
        <w:rPr>
          <w:i/>
          <w:szCs w:val="20"/>
        </w:rPr>
        <w:t>Vers une Europe différenciée ? Possibilité et limite</w:t>
      </w:r>
      <w:r w:rsidRPr="000E4647">
        <w:rPr>
          <w:szCs w:val="20"/>
        </w:rPr>
        <w:t>, Paris, Pedone, 1996.</w:t>
      </w:r>
    </w:p>
  </w:footnote>
  <w:footnote w:id="10">
    <w:p w14:paraId="2493A6DE" w14:textId="4303EC37" w:rsidR="00835DD6" w:rsidRPr="000E4647" w:rsidRDefault="00835DD6">
      <w:pPr>
        <w:pStyle w:val="Notedebasdepage"/>
        <w:rPr>
          <w:szCs w:val="20"/>
        </w:rPr>
      </w:pPr>
      <w:r w:rsidRPr="000E4647">
        <w:rPr>
          <w:rStyle w:val="Marquenotebasdepage"/>
          <w:szCs w:val="20"/>
        </w:rPr>
        <w:footnoteRef/>
      </w:r>
      <w:r w:rsidRPr="000E4647">
        <w:rPr>
          <w:szCs w:val="20"/>
        </w:rPr>
        <w:t xml:space="preserve"> V. L. Tesoka L. et Ziller J. (dir.), </w:t>
      </w:r>
      <w:r w:rsidRPr="000E4647">
        <w:rPr>
          <w:i/>
          <w:szCs w:val="20"/>
        </w:rPr>
        <w:t xml:space="preserve">Union européenne et </w:t>
      </w:r>
      <w:proofErr w:type="spellStart"/>
      <w:r w:rsidRPr="000E4647">
        <w:rPr>
          <w:i/>
          <w:szCs w:val="20"/>
        </w:rPr>
        <w:t>outre-mers</w:t>
      </w:r>
      <w:proofErr w:type="spellEnd"/>
      <w:r w:rsidRPr="000E4647">
        <w:rPr>
          <w:i/>
          <w:szCs w:val="20"/>
        </w:rPr>
        <w:t xml:space="preserve"> unis dans leurs diversités,</w:t>
      </w:r>
      <w:r w:rsidRPr="000E4647">
        <w:rPr>
          <w:szCs w:val="20"/>
        </w:rPr>
        <w:t xml:space="preserve"> Aix-Marseille, PUAM, 2008.</w:t>
      </w:r>
    </w:p>
  </w:footnote>
  <w:footnote w:id="11">
    <w:p w14:paraId="1D42AA98" w14:textId="3E6BCFA1" w:rsidR="00835DD6" w:rsidRPr="000E4647" w:rsidRDefault="00835DD6">
      <w:pPr>
        <w:pStyle w:val="Notedebasdepage"/>
        <w:rPr>
          <w:szCs w:val="20"/>
        </w:rPr>
      </w:pPr>
      <w:r w:rsidRPr="000E4647">
        <w:rPr>
          <w:rStyle w:val="Marquenotebasdepage"/>
          <w:szCs w:val="20"/>
        </w:rPr>
        <w:footnoteRef/>
      </w:r>
      <w:r w:rsidRPr="000E4647">
        <w:rPr>
          <w:szCs w:val="20"/>
        </w:rPr>
        <w:t xml:space="preserve"> V. L</w:t>
      </w:r>
      <w:r>
        <w:rPr>
          <w:szCs w:val="20"/>
        </w:rPr>
        <w:t>.</w:t>
      </w:r>
      <w:r w:rsidRPr="000E4647">
        <w:rPr>
          <w:szCs w:val="20"/>
        </w:rPr>
        <w:t xml:space="preserve"> Sermet, « La notion juridique de l</w:t>
      </w:r>
      <w:r>
        <w:rPr>
          <w:szCs w:val="20"/>
        </w:rPr>
        <w:t>’</w:t>
      </w:r>
      <w:r w:rsidRPr="000E4647">
        <w:rPr>
          <w:szCs w:val="20"/>
        </w:rPr>
        <w:t xml:space="preserve">ultrapériphéricité communautaire », </w:t>
      </w:r>
      <w:r w:rsidRPr="000E4647">
        <w:rPr>
          <w:i/>
          <w:szCs w:val="20"/>
        </w:rPr>
        <w:t>Europe</w:t>
      </w:r>
      <w:r w:rsidRPr="000E4647">
        <w:rPr>
          <w:szCs w:val="20"/>
        </w:rPr>
        <w:t xml:space="preserve">, 2002, n° 6, </w:t>
      </w:r>
      <w:proofErr w:type="spellStart"/>
      <w:r w:rsidRPr="000E4647">
        <w:rPr>
          <w:szCs w:val="20"/>
        </w:rPr>
        <w:t>chr</w:t>
      </w:r>
      <w:proofErr w:type="spellEnd"/>
      <w:r w:rsidRPr="000E4647">
        <w:rPr>
          <w:szCs w:val="20"/>
        </w:rPr>
        <w:t>. 7, p. 3.</w:t>
      </w:r>
    </w:p>
  </w:footnote>
  <w:footnote w:id="12">
    <w:p w14:paraId="237328DD" w14:textId="3E21D5C8" w:rsidR="00835DD6" w:rsidRPr="000E4647" w:rsidRDefault="00835DD6" w:rsidP="00A72CED">
      <w:pPr>
        <w:pStyle w:val="Notedebasdepage"/>
        <w:rPr>
          <w:szCs w:val="20"/>
        </w:rPr>
      </w:pPr>
      <w:r w:rsidRPr="000E4647">
        <w:rPr>
          <w:rStyle w:val="Marquenotebasdepage"/>
          <w:szCs w:val="20"/>
        </w:rPr>
        <w:footnoteRef/>
      </w:r>
      <w:r w:rsidRPr="000E4647">
        <w:rPr>
          <w:szCs w:val="20"/>
        </w:rPr>
        <w:t xml:space="preserve"> V. H. Bribosia, Différenciation et avant-gardes au sein de l</w:t>
      </w:r>
      <w:r>
        <w:rPr>
          <w:szCs w:val="20"/>
        </w:rPr>
        <w:t>’</w:t>
      </w:r>
      <w:r w:rsidRPr="000E4647">
        <w:rPr>
          <w:szCs w:val="20"/>
        </w:rPr>
        <w:t>Union européenne. Bilan et perspectives du Traité d</w:t>
      </w:r>
      <w:r>
        <w:rPr>
          <w:szCs w:val="20"/>
        </w:rPr>
        <w:t>’</w:t>
      </w:r>
      <w:r w:rsidRPr="000E4647">
        <w:rPr>
          <w:szCs w:val="20"/>
        </w:rPr>
        <w:t xml:space="preserve">Amsterdam, </w:t>
      </w:r>
      <w:r w:rsidRPr="000E4647">
        <w:rPr>
          <w:i/>
          <w:szCs w:val="20"/>
        </w:rPr>
        <w:t>CDE</w:t>
      </w:r>
      <w:r w:rsidRPr="000E4647">
        <w:rPr>
          <w:szCs w:val="20"/>
        </w:rPr>
        <w:t>, 2000, n°1-2, p. 57 et s.</w:t>
      </w:r>
    </w:p>
  </w:footnote>
  <w:footnote w:id="13">
    <w:p w14:paraId="5E2B4CF2" w14:textId="48477759" w:rsidR="00835DD6" w:rsidRPr="000E4647" w:rsidRDefault="00835DD6">
      <w:pPr>
        <w:pStyle w:val="Notedebasdepage"/>
        <w:rPr>
          <w:szCs w:val="20"/>
        </w:rPr>
      </w:pPr>
      <w:r w:rsidRPr="000E4647">
        <w:rPr>
          <w:rStyle w:val="Marquenotebasdepage"/>
          <w:szCs w:val="20"/>
        </w:rPr>
        <w:footnoteRef/>
      </w:r>
      <w:r w:rsidRPr="000E4647">
        <w:rPr>
          <w:szCs w:val="20"/>
        </w:rPr>
        <w:t xml:space="preserve"> V. I. Vestris, </w:t>
      </w:r>
      <w:r w:rsidRPr="000E4647">
        <w:rPr>
          <w:i/>
          <w:szCs w:val="20"/>
        </w:rPr>
        <w:t>op. cit</w:t>
      </w:r>
      <w:r w:rsidRPr="000E4647">
        <w:rPr>
          <w:szCs w:val="20"/>
        </w:rPr>
        <w:t>., p. 323 et s.</w:t>
      </w:r>
    </w:p>
  </w:footnote>
  <w:footnote w:id="14">
    <w:p w14:paraId="6CF08E4D" w14:textId="786061BE" w:rsidR="00835DD6" w:rsidRPr="000E4647" w:rsidRDefault="00835DD6">
      <w:pPr>
        <w:pStyle w:val="Notedebasdepage"/>
        <w:rPr>
          <w:szCs w:val="20"/>
        </w:rPr>
      </w:pPr>
      <w:r w:rsidRPr="000E4647">
        <w:rPr>
          <w:rStyle w:val="Marquenotebasdepage"/>
          <w:szCs w:val="20"/>
        </w:rPr>
        <w:footnoteRef/>
      </w:r>
      <w:r w:rsidRPr="000E4647">
        <w:rPr>
          <w:szCs w:val="20"/>
        </w:rPr>
        <w:t xml:space="preserve"> Environ 4,9 millions d</w:t>
      </w:r>
      <w:r>
        <w:rPr>
          <w:szCs w:val="20"/>
        </w:rPr>
        <w:t>’</w:t>
      </w:r>
      <w:r w:rsidRPr="000E4647">
        <w:rPr>
          <w:szCs w:val="20"/>
        </w:rPr>
        <w:t>habitants, soit moins d</w:t>
      </w:r>
      <w:r>
        <w:rPr>
          <w:szCs w:val="20"/>
        </w:rPr>
        <w:t>’</w:t>
      </w:r>
      <w:r w:rsidRPr="000E4647">
        <w:rPr>
          <w:szCs w:val="20"/>
        </w:rPr>
        <w:t>1% de l</w:t>
      </w:r>
      <w:r>
        <w:rPr>
          <w:szCs w:val="20"/>
        </w:rPr>
        <w:t>’</w:t>
      </w:r>
      <w:r w:rsidRPr="000E4647">
        <w:rPr>
          <w:szCs w:val="20"/>
        </w:rPr>
        <w:t>ensemble de l</w:t>
      </w:r>
      <w:r>
        <w:rPr>
          <w:szCs w:val="20"/>
        </w:rPr>
        <w:t>’</w:t>
      </w:r>
      <w:r w:rsidRPr="000E4647">
        <w:rPr>
          <w:szCs w:val="20"/>
        </w:rPr>
        <w:t>Union, mais plus que de nombreux Etats membres comme ceux des pays baltes, le Luxembourg, l</w:t>
      </w:r>
      <w:r>
        <w:rPr>
          <w:szCs w:val="20"/>
        </w:rPr>
        <w:t>’</w:t>
      </w:r>
      <w:r w:rsidRPr="000E4647">
        <w:rPr>
          <w:szCs w:val="20"/>
        </w:rPr>
        <w:t>Irlande ou la Croatie.</w:t>
      </w:r>
    </w:p>
  </w:footnote>
  <w:footnote w:id="15">
    <w:p w14:paraId="0877CFE1" w14:textId="48E3C2E3" w:rsidR="00835DD6" w:rsidRPr="000E4647" w:rsidRDefault="00835DD6">
      <w:pPr>
        <w:pStyle w:val="Notedebasdepage"/>
        <w:rPr>
          <w:szCs w:val="20"/>
        </w:rPr>
      </w:pPr>
      <w:r w:rsidRPr="000E4647">
        <w:rPr>
          <w:rStyle w:val="Marquenotebasdepage"/>
          <w:szCs w:val="20"/>
        </w:rPr>
        <w:footnoteRef/>
      </w:r>
      <w:r w:rsidRPr="000E4647">
        <w:rPr>
          <w:szCs w:val="20"/>
        </w:rPr>
        <w:t xml:space="preserve"> Tableau de bord FEDOM 2017 : </w:t>
      </w:r>
      <w:hyperlink r:id="rId1" w:history="1">
        <w:r w:rsidRPr="000E4647">
          <w:rPr>
            <w:rStyle w:val="Lienhypertexte"/>
            <w:szCs w:val="20"/>
          </w:rPr>
          <w:t>http://www.fedom.org/wp-content/uploads/2016/04/TABLEAU-DE-BORD-FEDOM-MAJ-130217.pdf</w:t>
        </w:r>
      </w:hyperlink>
      <w:r w:rsidRPr="000E4647">
        <w:rPr>
          <w:szCs w:val="20"/>
        </w:rPr>
        <w:t xml:space="preserve"> (p. 16 et 36).</w:t>
      </w:r>
    </w:p>
  </w:footnote>
  <w:footnote w:id="16">
    <w:p w14:paraId="4AF1A4FE" w14:textId="6ACCA2D8" w:rsidR="00835DD6" w:rsidRPr="000E4647" w:rsidRDefault="00835DD6">
      <w:pPr>
        <w:pStyle w:val="Notedebasdepage"/>
        <w:rPr>
          <w:szCs w:val="20"/>
        </w:rPr>
      </w:pPr>
      <w:r w:rsidRPr="000E4647">
        <w:rPr>
          <w:rStyle w:val="Marquenotebasdepage"/>
          <w:szCs w:val="20"/>
        </w:rPr>
        <w:footnoteRef/>
      </w:r>
      <w:r w:rsidRPr="000E4647">
        <w:rPr>
          <w:szCs w:val="20"/>
        </w:rPr>
        <w:t xml:space="preserve"> F. Saint-Bonnet, </w:t>
      </w:r>
      <w:r w:rsidRPr="000E4647">
        <w:rPr>
          <w:i/>
          <w:szCs w:val="20"/>
        </w:rPr>
        <w:t>op. cit</w:t>
      </w:r>
      <w:r w:rsidRPr="000E4647">
        <w:rPr>
          <w:szCs w:val="20"/>
        </w:rPr>
        <w:t>., p. 674.</w:t>
      </w:r>
    </w:p>
  </w:footnote>
  <w:footnote w:id="17">
    <w:p w14:paraId="549F88D7" w14:textId="7B783BBC" w:rsidR="00835DD6" w:rsidRPr="000E4647" w:rsidRDefault="00835DD6" w:rsidP="00A72CED">
      <w:pPr>
        <w:pStyle w:val="NBP"/>
      </w:pPr>
      <w:r w:rsidRPr="000E4647">
        <w:rPr>
          <w:rStyle w:val="Marquenotebasdepage"/>
        </w:rPr>
        <w:footnoteRef/>
      </w:r>
      <w:r w:rsidRPr="000E4647">
        <w:t xml:space="preserve"> « Les États membres conviennent d</w:t>
      </w:r>
      <w:r>
        <w:t>’</w:t>
      </w:r>
      <w:r w:rsidRPr="000E4647">
        <w:t>associer à l</w:t>
      </w:r>
      <w:r>
        <w:t>’</w:t>
      </w:r>
      <w:r w:rsidRPr="000E4647">
        <w:t>Union les pays et territoires non européens entretenant avec le Danemark, la France, les Pays-Bas et le Royaume-Uni des relations particulières ».</w:t>
      </w:r>
    </w:p>
  </w:footnote>
  <w:footnote w:id="18">
    <w:p w14:paraId="59421253" w14:textId="31B7FFF1" w:rsidR="00835DD6" w:rsidRPr="000E4647" w:rsidRDefault="00835DD6" w:rsidP="00A72CED">
      <w:pPr>
        <w:pStyle w:val="NBP"/>
        <w:rPr>
          <w:bCs/>
        </w:rPr>
      </w:pPr>
      <w:r w:rsidRPr="000E4647">
        <w:rPr>
          <w:rStyle w:val="Marquenotebasdepage"/>
        </w:rPr>
        <w:footnoteRef/>
      </w:r>
      <w:r w:rsidRPr="000E4647">
        <w:t xml:space="preserve"> V. D. Dormoy, </w:t>
      </w:r>
      <w:r w:rsidRPr="000E4647">
        <w:rPr>
          <w:bCs/>
        </w:rPr>
        <w:t>Association des pays et territoires d</w:t>
      </w:r>
      <w:r>
        <w:rPr>
          <w:bCs/>
        </w:rPr>
        <w:t>’</w:t>
      </w:r>
      <w:r w:rsidRPr="000E4647">
        <w:rPr>
          <w:bCs/>
        </w:rPr>
        <w:t>outre-mer (PTOM) à l</w:t>
      </w:r>
      <w:r>
        <w:rPr>
          <w:bCs/>
        </w:rPr>
        <w:t>’</w:t>
      </w:r>
      <w:r w:rsidRPr="000E4647">
        <w:rPr>
          <w:bCs/>
        </w:rPr>
        <w:t xml:space="preserve">Union européenne, </w:t>
      </w:r>
      <w:r w:rsidRPr="000E4647">
        <w:rPr>
          <w:bCs/>
          <w:i/>
        </w:rPr>
        <w:t>JCP Europe</w:t>
      </w:r>
      <w:r w:rsidRPr="000E4647">
        <w:rPr>
          <w:bCs/>
        </w:rPr>
        <w:t xml:space="preserve">, fasc. 473, n° 22 et s. </w:t>
      </w:r>
      <w:r w:rsidRPr="000E4647">
        <w:t>L</w:t>
      </w:r>
      <w:r>
        <w:t>’</w:t>
      </w:r>
      <w:r w:rsidRPr="000E4647">
        <w:t>association octroyée dans le traité CEE est une association interne tandis que l</w:t>
      </w:r>
      <w:r>
        <w:t>’</w:t>
      </w:r>
      <w:r w:rsidRPr="000E4647">
        <w:t>association externe lie l</w:t>
      </w:r>
      <w:r>
        <w:t>’</w:t>
      </w:r>
      <w:r w:rsidRPr="000E4647">
        <w:t>Union à des pays tiers là où les PTOM ne sont pas des territoires souverains.</w:t>
      </w:r>
    </w:p>
  </w:footnote>
  <w:footnote w:id="19">
    <w:p w14:paraId="1BC3DA18" w14:textId="685F3A35" w:rsidR="00835DD6" w:rsidRPr="000E4647" w:rsidRDefault="00835DD6" w:rsidP="00A72CED">
      <w:pPr>
        <w:pStyle w:val="NBP"/>
        <w:rPr>
          <w:bCs/>
        </w:rPr>
      </w:pPr>
      <w:r w:rsidRPr="000E4647">
        <w:rPr>
          <w:rStyle w:val="Marquenotebasdepage"/>
        </w:rPr>
        <w:footnoteRef/>
      </w:r>
      <w:r w:rsidRPr="000E4647">
        <w:t xml:space="preserve"> V. D. Perrot, </w:t>
      </w:r>
      <w:r w:rsidRPr="000E4647">
        <w:rPr>
          <w:bCs/>
        </w:rPr>
        <w:t>« L</w:t>
      </w:r>
      <w:r>
        <w:rPr>
          <w:bCs/>
        </w:rPr>
        <w:t>’</w:t>
      </w:r>
      <w:r w:rsidRPr="000E4647">
        <w:rPr>
          <w:bCs/>
        </w:rPr>
        <w:t>Europe hors d</w:t>
      </w:r>
      <w:r>
        <w:rPr>
          <w:bCs/>
        </w:rPr>
        <w:t>’</w:t>
      </w:r>
      <w:r w:rsidRPr="000E4647">
        <w:rPr>
          <w:bCs/>
        </w:rPr>
        <w:t>Europe – Pays et territoires d</w:t>
      </w:r>
      <w:r>
        <w:rPr>
          <w:bCs/>
        </w:rPr>
        <w:t>’</w:t>
      </w:r>
      <w:r w:rsidRPr="000E4647">
        <w:rPr>
          <w:bCs/>
        </w:rPr>
        <w:t xml:space="preserve">outre-mer et Régions ultrapériphériques », </w:t>
      </w:r>
      <w:r w:rsidRPr="000E4647">
        <w:rPr>
          <w:bCs/>
          <w:i/>
        </w:rPr>
        <w:t>Rev. UE</w:t>
      </w:r>
      <w:r w:rsidRPr="000E4647">
        <w:rPr>
          <w:bCs/>
        </w:rPr>
        <w:t>, 2017, n° 613, p. 636 et s.</w:t>
      </w:r>
    </w:p>
  </w:footnote>
  <w:footnote w:id="20">
    <w:p w14:paraId="1E5C0FC8" w14:textId="6A7133DC" w:rsidR="00835DD6" w:rsidRPr="000E4647" w:rsidRDefault="00835DD6" w:rsidP="00A72CED">
      <w:pPr>
        <w:pStyle w:val="Notedebasdepage"/>
        <w:rPr>
          <w:bCs/>
          <w:iCs/>
          <w:szCs w:val="20"/>
        </w:rPr>
      </w:pPr>
      <w:r w:rsidRPr="000E4647">
        <w:rPr>
          <w:rStyle w:val="Marquenotebasdepage"/>
          <w:szCs w:val="20"/>
        </w:rPr>
        <w:footnoteRef/>
      </w:r>
      <w:r w:rsidRPr="000E4647">
        <w:rPr>
          <w:szCs w:val="20"/>
        </w:rPr>
        <w:t xml:space="preserve"> </w:t>
      </w:r>
      <w:bookmarkStart w:id="0" w:name="MO"/>
      <w:r w:rsidRPr="000E4647">
        <w:rPr>
          <w:szCs w:val="20"/>
        </w:rPr>
        <w:t>Dans son arrêt Leplat, la Cour de justice observe que « </w:t>
      </w:r>
      <w:r w:rsidRPr="000E4647">
        <w:rPr>
          <w:iCs/>
          <w:szCs w:val="20"/>
        </w:rPr>
        <w:t>les dispositions générales du traité ne sont pas applicables aux PTOM sans référence expresse ».</w:t>
      </w:r>
      <w:bookmarkEnd w:id="0"/>
      <w:r w:rsidRPr="000E4647">
        <w:rPr>
          <w:iCs/>
          <w:szCs w:val="20"/>
        </w:rPr>
        <w:t xml:space="preserve"> </w:t>
      </w:r>
      <w:r w:rsidRPr="000E4647">
        <w:rPr>
          <w:bCs/>
          <w:iCs/>
          <w:szCs w:val="20"/>
        </w:rPr>
        <w:t>CJCE, 12 févr. 1992, aff. C-260/90,</w:t>
      </w:r>
      <w:r w:rsidRPr="000E4647">
        <w:rPr>
          <w:bCs/>
          <w:i/>
          <w:iCs/>
          <w:szCs w:val="20"/>
        </w:rPr>
        <w:t xml:space="preserve"> Leplat c/ Territoire de la Polynésie française</w:t>
      </w:r>
      <w:r w:rsidRPr="000E4647">
        <w:rPr>
          <w:bCs/>
          <w:iCs/>
          <w:szCs w:val="20"/>
        </w:rPr>
        <w:t xml:space="preserve">, pt. 10, ECLI:EU:C:1992:66. Toutefois, dans certaines circonstances elle les assimile à des pays tiers, comme en matière de libre circulation des capitaux. V. CJUE, 5 mai 2011, aff. C-384/09, </w:t>
      </w:r>
      <w:r w:rsidRPr="000E4647">
        <w:rPr>
          <w:bCs/>
          <w:i/>
          <w:iCs/>
          <w:szCs w:val="20"/>
        </w:rPr>
        <w:t>Prunus SARL et Polonium SA c/ Directeur des services fiscaux</w:t>
      </w:r>
      <w:r>
        <w:rPr>
          <w:bCs/>
          <w:iCs/>
          <w:szCs w:val="20"/>
        </w:rPr>
        <w:t>, ECLI:EU:C:2011:276. V. T. M’</w:t>
      </w:r>
      <w:proofErr w:type="spellStart"/>
      <w:r>
        <w:rPr>
          <w:bCs/>
          <w:iCs/>
          <w:szCs w:val="20"/>
        </w:rPr>
        <w:t>s</w:t>
      </w:r>
      <w:r w:rsidRPr="000E4647">
        <w:rPr>
          <w:bCs/>
          <w:iCs/>
          <w:szCs w:val="20"/>
        </w:rPr>
        <w:t>aïdié</w:t>
      </w:r>
      <w:proofErr w:type="spellEnd"/>
      <w:r w:rsidRPr="000E4647">
        <w:rPr>
          <w:bCs/>
          <w:iCs/>
          <w:szCs w:val="20"/>
        </w:rPr>
        <w:t>, L</w:t>
      </w:r>
      <w:r>
        <w:rPr>
          <w:bCs/>
          <w:iCs/>
          <w:szCs w:val="20"/>
        </w:rPr>
        <w:t>’</w:t>
      </w:r>
      <w:r w:rsidRPr="000E4647">
        <w:rPr>
          <w:bCs/>
          <w:iCs/>
          <w:szCs w:val="20"/>
        </w:rPr>
        <w:t>assimilation des PTOM à des pays tiers dans le cadre de la libre circulation des capitaux : note à propos de l</w:t>
      </w:r>
      <w:r>
        <w:rPr>
          <w:bCs/>
          <w:iCs/>
          <w:szCs w:val="20"/>
        </w:rPr>
        <w:t>’</w:t>
      </w:r>
      <w:r w:rsidRPr="000E4647">
        <w:rPr>
          <w:bCs/>
          <w:iCs/>
          <w:szCs w:val="20"/>
        </w:rPr>
        <w:t xml:space="preserve">arrêt de la Cour de justice du 5 mai 2011, </w:t>
      </w:r>
      <w:r w:rsidRPr="000E4647">
        <w:rPr>
          <w:bCs/>
          <w:i/>
          <w:iCs/>
          <w:szCs w:val="20"/>
        </w:rPr>
        <w:t>Prunus SARL et Polonium SA c/ Directeur des services fiscaux</w:t>
      </w:r>
      <w:r w:rsidRPr="000E4647">
        <w:rPr>
          <w:bCs/>
          <w:iCs/>
          <w:szCs w:val="20"/>
        </w:rPr>
        <w:t>, aff. C-384/09,</w:t>
      </w:r>
      <w:r w:rsidRPr="000E4647">
        <w:rPr>
          <w:bCs/>
          <w:i/>
          <w:iCs/>
          <w:szCs w:val="20"/>
        </w:rPr>
        <w:t xml:space="preserve"> </w:t>
      </w:r>
      <w:r w:rsidR="00980493">
        <w:rPr>
          <w:bCs/>
          <w:i/>
          <w:iCs/>
          <w:szCs w:val="20"/>
        </w:rPr>
        <w:t>RTDE Eur.</w:t>
      </w:r>
      <w:bookmarkStart w:id="1" w:name="_GoBack"/>
      <w:bookmarkEnd w:id="1"/>
      <w:r w:rsidRPr="000E4647">
        <w:rPr>
          <w:bCs/>
          <w:iCs/>
          <w:szCs w:val="20"/>
        </w:rPr>
        <w:t>, 2013, n°4, p. 713 et s.</w:t>
      </w:r>
    </w:p>
  </w:footnote>
  <w:footnote w:id="21">
    <w:p w14:paraId="64AE790E" w14:textId="68469B8B" w:rsidR="00835DD6" w:rsidRPr="000E4647" w:rsidRDefault="00835DD6" w:rsidP="00A72CED">
      <w:pPr>
        <w:pStyle w:val="Notedebasdepage"/>
        <w:rPr>
          <w:szCs w:val="20"/>
        </w:rPr>
      </w:pPr>
      <w:r w:rsidRPr="000E4647">
        <w:rPr>
          <w:rStyle w:val="Marquenotebasdepage"/>
          <w:szCs w:val="20"/>
        </w:rPr>
        <w:footnoteRef/>
      </w:r>
      <w:r w:rsidRPr="000E4647">
        <w:rPr>
          <w:szCs w:val="20"/>
        </w:rPr>
        <w:t xml:space="preserve"> Décision n° 2013/755/UE du Conseil du 25 novembre 2013 relative à l</w:t>
      </w:r>
      <w:r>
        <w:rPr>
          <w:szCs w:val="20"/>
        </w:rPr>
        <w:t>’</w:t>
      </w:r>
      <w:r w:rsidRPr="000E4647">
        <w:rPr>
          <w:szCs w:val="20"/>
        </w:rPr>
        <w:t>association des pays et territoires d</w:t>
      </w:r>
      <w:r>
        <w:rPr>
          <w:szCs w:val="20"/>
        </w:rPr>
        <w:t>’</w:t>
      </w:r>
      <w:r w:rsidRPr="000E4647">
        <w:rPr>
          <w:szCs w:val="20"/>
        </w:rPr>
        <w:t>outre-mer à l</w:t>
      </w:r>
      <w:r>
        <w:rPr>
          <w:szCs w:val="20"/>
        </w:rPr>
        <w:t>’</w:t>
      </w:r>
      <w:r w:rsidRPr="000E4647">
        <w:rPr>
          <w:szCs w:val="20"/>
        </w:rPr>
        <w:t>UE, JOUE L 344, 19 décembre 2013, p. 1.</w:t>
      </w:r>
    </w:p>
  </w:footnote>
  <w:footnote w:id="22">
    <w:p w14:paraId="16A43902" w14:textId="78994E13" w:rsidR="00835DD6" w:rsidRPr="000E4647" w:rsidRDefault="00835DD6">
      <w:pPr>
        <w:pStyle w:val="Notedebasdepage"/>
        <w:rPr>
          <w:szCs w:val="20"/>
        </w:rPr>
      </w:pPr>
      <w:r w:rsidRPr="000E4647">
        <w:rPr>
          <w:rStyle w:val="Marquenotebasdepage"/>
          <w:szCs w:val="20"/>
        </w:rPr>
        <w:footnoteRef/>
      </w:r>
      <w:r w:rsidRPr="000E4647">
        <w:rPr>
          <w:szCs w:val="20"/>
        </w:rPr>
        <w:t xml:space="preserve"> Comme l</w:t>
      </w:r>
      <w:r>
        <w:rPr>
          <w:szCs w:val="20"/>
        </w:rPr>
        <w:t>’</w:t>
      </w:r>
      <w:r w:rsidRPr="000E4647">
        <w:rPr>
          <w:szCs w:val="20"/>
        </w:rPr>
        <w:t>écrit L. Grard : « </w:t>
      </w:r>
      <w:r w:rsidRPr="000E4647">
        <w:rPr>
          <w:szCs w:val="20"/>
          <w:lang w:eastAsia="en-US"/>
        </w:rPr>
        <w:t xml:space="preserve">la Communauté </w:t>
      </w:r>
      <w:r w:rsidRPr="000E4647">
        <w:rPr>
          <w:szCs w:val="20"/>
        </w:rPr>
        <w:t>européenne a</w:t>
      </w:r>
      <w:r w:rsidRPr="000E4647">
        <w:rPr>
          <w:szCs w:val="20"/>
          <w:lang w:eastAsia="en-US"/>
        </w:rPr>
        <w:t xml:space="preserve"> hérité </w:t>
      </w:r>
      <w:r w:rsidRPr="000E4647">
        <w:rPr>
          <w:szCs w:val="20"/>
        </w:rPr>
        <w:t>de l</w:t>
      </w:r>
      <w:r>
        <w:rPr>
          <w:szCs w:val="20"/>
        </w:rPr>
        <w:t>’</w:t>
      </w:r>
      <w:r w:rsidRPr="000E4647">
        <w:rPr>
          <w:szCs w:val="20"/>
        </w:rPr>
        <w:t>histoire de ses Etats membres ». « La situation des départements d</w:t>
      </w:r>
      <w:r>
        <w:rPr>
          <w:szCs w:val="20"/>
        </w:rPr>
        <w:t>’</w:t>
      </w:r>
      <w:r w:rsidRPr="000E4647">
        <w:rPr>
          <w:szCs w:val="20"/>
        </w:rPr>
        <w:t xml:space="preserve">outre-mer dans la République française », in L. Grard et A. de </w:t>
      </w:r>
      <w:proofErr w:type="spellStart"/>
      <w:r w:rsidRPr="000E4647">
        <w:rPr>
          <w:szCs w:val="20"/>
        </w:rPr>
        <w:t>Raulin</w:t>
      </w:r>
      <w:proofErr w:type="spellEnd"/>
      <w:r w:rsidRPr="000E4647">
        <w:rPr>
          <w:szCs w:val="20"/>
        </w:rPr>
        <w:t xml:space="preserve"> (dir.), </w:t>
      </w:r>
      <w:r w:rsidRPr="000E4647">
        <w:rPr>
          <w:i/>
          <w:iCs/>
          <w:szCs w:val="20"/>
        </w:rPr>
        <w:t>Le développement des DOM et la Communauté européenne</w:t>
      </w:r>
      <w:r w:rsidRPr="000E4647">
        <w:rPr>
          <w:szCs w:val="20"/>
        </w:rPr>
        <w:t xml:space="preserve">, </w:t>
      </w:r>
      <w:r w:rsidRPr="000E4647">
        <w:rPr>
          <w:iCs/>
          <w:szCs w:val="20"/>
        </w:rPr>
        <w:t>Paris, La documentation française, 1998</w:t>
      </w:r>
      <w:r w:rsidRPr="000E4647">
        <w:rPr>
          <w:i/>
          <w:iCs/>
          <w:szCs w:val="20"/>
        </w:rPr>
        <w:t xml:space="preserve">, </w:t>
      </w:r>
      <w:r w:rsidRPr="000E4647">
        <w:rPr>
          <w:szCs w:val="20"/>
        </w:rPr>
        <w:t>p. 9.</w:t>
      </w:r>
    </w:p>
  </w:footnote>
  <w:footnote w:id="23">
    <w:p w14:paraId="5434E82E" w14:textId="5BEE65B1" w:rsidR="00835DD6" w:rsidRDefault="00835DD6">
      <w:pPr>
        <w:pStyle w:val="Notedebasdepage"/>
      </w:pPr>
      <w:r>
        <w:rPr>
          <w:rStyle w:val="Marquenotebasdepage"/>
        </w:rPr>
        <w:footnoteRef/>
      </w:r>
      <w:r>
        <w:t xml:space="preserve"> V. </w:t>
      </w:r>
      <w:r w:rsidRPr="00C631C0">
        <w:t>F. Rakotondrahaso</w:t>
      </w:r>
      <w:r>
        <w:t>, « </w:t>
      </w:r>
      <w:r w:rsidRPr="00C631C0">
        <w:t>Les interactions entre statut constitutionnel et statut eur</w:t>
      </w:r>
      <w:r>
        <w:t xml:space="preserve">opéen de l’Outre-mer français : </w:t>
      </w:r>
      <w:r w:rsidRPr="00C631C0">
        <w:t xml:space="preserve">autour des articles 72-3, </w:t>
      </w:r>
      <w:r>
        <w:t>72-4, 73, 74 de la Constitution »</w:t>
      </w:r>
      <w:r w:rsidRPr="00C631C0">
        <w:t xml:space="preserve">, in H. Gaudin (dir), </w:t>
      </w:r>
      <w:r w:rsidRPr="00C631C0">
        <w:rPr>
          <w:i/>
        </w:rPr>
        <w:t>La Constitution européenne de la France</w:t>
      </w:r>
      <w:r w:rsidRPr="00C631C0">
        <w:t>, Dalloz, coll. Thèmes &amp; commentaires, 2017, p. 3</w:t>
      </w:r>
      <w:r>
        <w:t>12 et s.</w:t>
      </w:r>
    </w:p>
  </w:footnote>
  <w:footnote w:id="24">
    <w:p w14:paraId="2A8D3ADD" w14:textId="21935A98" w:rsidR="00835DD6" w:rsidRPr="000E4647" w:rsidRDefault="00835DD6" w:rsidP="00A72CED">
      <w:pPr>
        <w:pStyle w:val="Notedebasdepage"/>
        <w:rPr>
          <w:szCs w:val="20"/>
        </w:rPr>
      </w:pPr>
      <w:r w:rsidRPr="000E4647">
        <w:rPr>
          <w:rStyle w:val="Marquenotebasdepage"/>
          <w:szCs w:val="20"/>
        </w:rPr>
        <w:footnoteRef/>
      </w:r>
      <w:r w:rsidRPr="000E4647">
        <w:rPr>
          <w:szCs w:val="20"/>
        </w:rPr>
        <w:t xml:space="preserve"> </w:t>
      </w:r>
      <w:r w:rsidRPr="000E4647">
        <w:rPr>
          <w:color w:val="000000"/>
          <w:szCs w:val="20"/>
        </w:rPr>
        <w:t>Décision n° 2012/419/UE du 11 juill. 2012 modifiant le statut à l</w:t>
      </w:r>
      <w:r>
        <w:rPr>
          <w:color w:val="000000"/>
          <w:szCs w:val="20"/>
        </w:rPr>
        <w:t>’</w:t>
      </w:r>
      <w:r w:rsidRPr="000E4647">
        <w:rPr>
          <w:color w:val="000000"/>
          <w:szCs w:val="20"/>
        </w:rPr>
        <w:t>égard de l</w:t>
      </w:r>
      <w:r>
        <w:rPr>
          <w:color w:val="000000"/>
          <w:szCs w:val="20"/>
        </w:rPr>
        <w:t>’</w:t>
      </w:r>
      <w:r w:rsidRPr="000E4647">
        <w:rPr>
          <w:color w:val="000000"/>
          <w:szCs w:val="20"/>
        </w:rPr>
        <w:t xml:space="preserve">Union européenne de Mayotte, </w:t>
      </w:r>
      <w:r w:rsidRPr="000E4647">
        <w:rPr>
          <w:i/>
          <w:color w:val="000000"/>
          <w:szCs w:val="20"/>
        </w:rPr>
        <w:t>JOUE</w:t>
      </w:r>
      <w:r w:rsidRPr="000E4647">
        <w:rPr>
          <w:color w:val="000000"/>
          <w:szCs w:val="20"/>
        </w:rPr>
        <w:t xml:space="preserve"> L 204, 31 juillet 2012, p. 131.</w:t>
      </w:r>
      <w:r w:rsidRPr="000E4647">
        <w:rPr>
          <w:szCs w:val="20"/>
        </w:rPr>
        <w:t xml:space="preserve"> V. H. Pongérard-Payet, « Les principales implications de l</w:t>
      </w:r>
      <w:r>
        <w:rPr>
          <w:szCs w:val="20"/>
        </w:rPr>
        <w:t>’</w:t>
      </w:r>
      <w:r w:rsidRPr="000E4647">
        <w:rPr>
          <w:szCs w:val="20"/>
        </w:rPr>
        <w:t xml:space="preserve">octroi du statut de région ultrapériphérique au département de Mayotte », in </w:t>
      </w:r>
      <w:r w:rsidRPr="000E4647">
        <w:rPr>
          <w:bCs/>
          <w:szCs w:val="20"/>
        </w:rPr>
        <w:t xml:space="preserve">D. Blanc et F. Cafarelli (dir.) </w:t>
      </w:r>
      <w:r w:rsidRPr="000E4647">
        <w:rPr>
          <w:bCs/>
          <w:i/>
          <w:szCs w:val="20"/>
        </w:rPr>
        <w:t>1946-2016 : Soixante-dix ans de départementalisation ultra-marine : entre unité constitutionnelle et diversité législative dans la République</w:t>
      </w:r>
      <w:r w:rsidRPr="000E4647">
        <w:rPr>
          <w:bCs/>
          <w:szCs w:val="20"/>
        </w:rPr>
        <w:t>, Aix-Marseille, PUAM, Collection Droit d</w:t>
      </w:r>
      <w:r>
        <w:rPr>
          <w:bCs/>
          <w:szCs w:val="20"/>
        </w:rPr>
        <w:t>’</w:t>
      </w:r>
      <w:r w:rsidRPr="000E4647">
        <w:rPr>
          <w:bCs/>
          <w:szCs w:val="20"/>
        </w:rPr>
        <w:t>outre-mer, 2017</w:t>
      </w:r>
      <w:r w:rsidRPr="000E4647">
        <w:rPr>
          <w:szCs w:val="20"/>
        </w:rPr>
        <w:t>, p. 199 et s.</w:t>
      </w:r>
    </w:p>
  </w:footnote>
  <w:footnote w:id="25">
    <w:p w14:paraId="0E2ABC58" w14:textId="52878497" w:rsidR="00835DD6" w:rsidRPr="000E4647" w:rsidRDefault="00835DD6" w:rsidP="00A72CED">
      <w:pPr>
        <w:pStyle w:val="Notedebasdepage"/>
        <w:rPr>
          <w:szCs w:val="20"/>
        </w:rPr>
      </w:pPr>
      <w:r w:rsidRPr="000E4647">
        <w:rPr>
          <w:rStyle w:val="Marquenotebasdepage"/>
          <w:szCs w:val="20"/>
        </w:rPr>
        <w:footnoteRef/>
      </w:r>
      <w:r w:rsidRPr="000E4647">
        <w:rPr>
          <w:szCs w:val="20"/>
        </w:rPr>
        <w:t xml:space="preserve"> Considérant 5.</w:t>
      </w:r>
    </w:p>
  </w:footnote>
  <w:footnote w:id="26">
    <w:p w14:paraId="31D16005" w14:textId="0A04FAEA" w:rsidR="00835DD6" w:rsidRPr="000E4647" w:rsidRDefault="00835DD6" w:rsidP="00A72CED">
      <w:pPr>
        <w:jc w:val="both"/>
        <w:rPr>
          <w:sz w:val="20"/>
          <w:szCs w:val="20"/>
        </w:rPr>
      </w:pPr>
      <w:r w:rsidRPr="000E4647">
        <w:rPr>
          <w:rStyle w:val="Marquenotebasdepage"/>
          <w:sz w:val="20"/>
          <w:szCs w:val="20"/>
        </w:rPr>
        <w:footnoteRef/>
      </w:r>
      <w:r w:rsidRPr="000E4647">
        <w:rPr>
          <w:sz w:val="20"/>
          <w:szCs w:val="20"/>
        </w:rPr>
        <w:t xml:space="preserve"> Loi organique n° 2007-223 du 21 février 2007 portant dispositions statutaires et institutionnelles relatives à l</w:t>
      </w:r>
      <w:r>
        <w:rPr>
          <w:sz w:val="20"/>
          <w:szCs w:val="20"/>
        </w:rPr>
        <w:t>’</w:t>
      </w:r>
      <w:r w:rsidRPr="000E4647">
        <w:rPr>
          <w:sz w:val="20"/>
          <w:szCs w:val="20"/>
        </w:rPr>
        <w:t>outre-mer, JORF, 22 février 2007, p. 3121.</w:t>
      </w:r>
    </w:p>
  </w:footnote>
  <w:footnote w:id="27">
    <w:p w14:paraId="5943A3FA" w14:textId="607F3A86" w:rsidR="00835DD6" w:rsidRPr="000E4647" w:rsidRDefault="00835DD6" w:rsidP="00A72CED">
      <w:pPr>
        <w:jc w:val="both"/>
        <w:rPr>
          <w:sz w:val="20"/>
          <w:szCs w:val="20"/>
        </w:rPr>
      </w:pPr>
      <w:r w:rsidRPr="000E4647">
        <w:rPr>
          <w:rStyle w:val="Marquenotebasdepage"/>
          <w:sz w:val="20"/>
          <w:szCs w:val="20"/>
        </w:rPr>
        <w:footnoteRef/>
      </w:r>
      <w:r w:rsidRPr="000E4647">
        <w:rPr>
          <w:sz w:val="20"/>
          <w:szCs w:val="20"/>
        </w:rPr>
        <w:t xml:space="preserve"> Décision (2010/718/UE) du Conseil européen, du 29 octobre 2010, </w:t>
      </w:r>
      <w:r w:rsidRPr="000E4647">
        <w:rPr>
          <w:rFonts w:eastAsia="Calibri"/>
          <w:i/>
          <w:iCs/>
          <w:sz w:val="20"/>
          <w:szCs w:val="20"/>
        </w:rPr>
        <w:t>JOUE</w:t>
      </w:r>
      <w:r w:rsidRPr="000E4647">
        <w:rPr>
          <w:rFonts w:eastAsia="Calibri"/>
          <w:sz w:val="20"/>
          <w:szCs w:val="20"/>
        </w:rPr>
        <w:t xml:space="preserve"> L 325, 9 décembre 2010, p. 1</w:t>
      </w:r>
      <w:r w:rsidRPr="000E4647">
        <w:rPr>
          <w:sz w:val="20"/>
          <w:szCs w:val="20"/>
        </w:rPr>
        <w:t>.</w:t>
      </w:r>
      <w:r w:rsidRPr="000E4647">
        <w:rPr>
          <w:bCs/>
          <w:sz w:val="20"/>
          <w:szCs w:val="20"/>
        </w:rPr>
        <w:t xml:space="preserve"> La référence à Saint-Barthélemy disparait des articles 349 et 355 § 1 TFUE tandis qu</w:t>
      </w:r>
      <w:r>
        <w:rPr>
          <w:bCs/>
          <w:sz w:val="20"/>
          <w:szCs w:val="20"/>
        </w:rPr>
        <w:t>’</w:t>
      </w:r>
      <w:r w:rsidRPr="000E4647">
        <w:rPr>
          <w:bCs/>
          <w:sz w:val="20"/>
          <w:szCs w:val="20"/>
        </w:rPr>
        <w:t>elle est ajoutée à la liste des PTOM de l</w:t>
      </w:r>
      <w:r>
        <w:rPr>
          <w:bCs/>
          <w:sz w:val="20"/>
          <w:szCs w:val="20"/>
        </w:rPr>
        <w:t>’</w:t>
      </w:r>
      <w:r w:rsidRPr="000E4647">
        <w:rPr>
          <w:bCs/>
          <w:sz w:val="20"/>
          <w:szCs w:val="20"/>
        </w:rPr>
        <w:t>annexe II suivant l</w:t>
      </w:r>
      <w:r>
        <w:rPr>
          <w:bCs/>
          <w:sz w:val="20"/>
          <w:szCs w:val="20"/>
        </w:rPr>
        <w:t>’</w:t>
      </w:r>
      <w:r w:rsidRPr="000E4647">
        <w:rPr>
          <w:bCs/>
          <w:sz w:val="20"/>
          <w:szCs w:val="20"/>
        </w:rPr>
        <w:t>article 198 TFUE.</w:t>
      </w:r>
    </w:p>
  </w:footnote>
  <w:footnote w:id="28">
    <w:p w14:paraId="28987F0C" w14:textId="3D53CB7E" w:rsidR="00835DD6" w:rsidRPr="000E4647" w:rsidRDefault="00835DD6" w:rsidP="00CB734F">
      <w:pPr>
        <w:pStyle w:val="Notedebasdepage"/>
        <w:rPr>
          <w:szCs w:val="20"/>
        </w:rPr>
      </w:pPr>
      <w:r w:rsidRPr="000E4647">
        <w:rPr>
          <w:rStyle w:val="Marquenotebasdepage"/>
          <w:szCs w:val="20"/>
        </w:rPr>
        <w:footnoteRef/>
      </w:r>
      <w:r w:rsidRPr="000E4647">
        <w:rPr>
          <w:szCs w:val="20"/>
        </w:rPr>
        <w:t xml:space="preserve"> L. Grard, « </w:t>
      </w:r>
      <w:r w:rsidRPr="000E4647">
        <w:rPr>
          <w:bCs/>
          <w:szCs w:val="20"/>
        </w:rPr>
        <w:t xml:space="preserve">Quel statut européen pour la collectivité outre-mer de Saint-Martin ? », </w:t>
      </w:r>
      <w:r w:rsidRPr="000E4647">
        <w:rPr>
          <w:i/>
          <w:szCs w:val="20"/>
        </w:rPr>
        <w:t>AJDA</w:t>
      </w:r>
      <w:r w:rsidRPr="000E4647">
        <w:rPr>
          <w:szCs w:val="20"/>
        </w:rPr>
        <w:t>, 29 juin 2015, n°22, p. 1252.</w:t>
      </w:r>
    </w:p>
  </w:footnote>
  <w:footnote w:id="29">
    <w:p w14:paraId="0CFE2129" w14:textId="082EFC1A" w:rsidR="00835DD6" w:rsidRPr="000E4647" w:rsidRDefault="00835DD6" w:rsidP="004A13A4">
      <w:pPr>
        <w:pStyle w:val="Notedebasdepage"/>
        <w:rPr>
          <w:szCs w:val="20"/>
        </w:rPr>
      </w:pPr>
      <w:r w:rsidRPr="000E4647">
        <w:rPr>
          <w:rStyle w:val="Marquenotebasdepage"/>
          <w:szCs w:val="20"/>
        </w:rPr>
        <w:footnoteRef/>
      </w:r>
      <w:r w:rsidRPr="000E4647">
        <w:rPr>
          <w:szCs w:val="20"/>
        </w:rPr>
        <w:t xml:space="preserve"> Depuis la révision constitutionnelle de 2003 une grande diversité caractérise les statuts internes de l</w:t>
      </w:r>
      <w:r>
        <w:rPr>
          <w:szCs w:val="20"/>
        </w:rPr>
        <w:t>’</w:t>
      </w:r>
      <w:r w:rsidRPr="000E4647">
        <w:rPr>
          <w:szCs w:val="20"/>
        </w:rPr>
        <w:t>outre-mer français. V. E. Jos, « La diversité des statuts constitutionnels des collectivités territoriales situées en outre-mer », in</w:t>
      </w:r>
      <w:bookmarkStart w:id="2" w:name="koha_urn144061"/>
      <w:bookmarkEnd w:id="2"/>
      <w:r w:rsidRPr="000E4647">
        <w:rPr>
          <w:szCs w:val="20"/>
        </w:rPr>
        <w:t xml:space="preserve"> </w:t>
      </w:r>
      <w:r w:rsidRPr="000E4647">
        <w:rPr>
          <w:bCs/>
          <w:i/>
          <w:szCs w:val="20"/>
        </w:rPr>
        <w:t>La diversité du droit : mélanges en l</w:t>
      </w:r>
      <w:r>
        <w:rPr>
          <w:bCs/>
          <w:i/>
          <w:szCs w:val="20"/>
        </w:rPr>
        <w:t>’</w:t>
      </w:r>
      <w:r w:rsidRPr="000E4647">
        <w:rPr>
          <w:bCs/>
          <w:i/>
          <w:szCs w:val="20"/>
        </w:rPr>
        <w:t>honneur de Jerry Sainte-Rose</w:t>
      </w:r>
      <w:r w:rsidRPr="000E4647">
        <w:rPr>
          <w:bCs/>
          <w:szCs w:val="20"/>
        </w:rPr>
        <w:t>, Bruxelles, Bruylant, 2012, p. 637 et s</w:t>
      </w:r>
      <w:r w:rsidRPr="000E4647">
        <w:rPr>
          <w:szCs w:val="20"/>
        </w:rPr>
        <w:t>.</w:t>
      </w:r>
    </w:p>
  </w:footnote>
  <w:footnote w:id="30">
    <w:p w14:paraId="600B1B82" w14:textId="6988B9FB" w:rsidR="00835DD6" w:rsidRPr="000E4647" w:rsidRDefault="00835DD6" w:rsidP="00087F27">
      <w:pPr>
        <w:pStyle w:val="Notedebasdepage"/>
        <w:rPr>
          <w:szCs w:val="20"/>
        </w:rPr>
      </w:pPr>
      <w:r w:rsidRPr="000E4647">
        <w:rPr>
          <w:szCs w:val="20"/>
          <w:vertAlign w:val="superscript"/>
        </w:rPr>
        <w:footnoteRef/>
      </w:r>
      <w:r w:rsidRPr="000E4647">
        <w:rPr>
          <w:szCs w:val="20"/>
        </w:rPr>
        <w:t xml:space="preserve"> L. Grard, </w:t>
      </w:r>
      <w:r w:rsidRPr="000E4647">
        <w:rPr>
          <w:i/>
          <w:szCs w:val="20"/>
        </w:rPr>
        <w:t>AJDA</w:t>
      </w:r>
      <w:r w:rsidRPr="000E4647">
        <w:rPr>
          <w:szCs w:val="20"/>
        </w:rPr>
        <w:t>, 2015,</w:t>
      </w:r>
      <w:r w:rsidRPr="000E4647">
        <w:rPr>
          <w:i/>
          <w:szCs w:val="20"/>
        </w:rPr>
        <w:t xml:space="preserve"> op. cit</w:t>
      </w:r>
      <w:r w:rsidRPr="000E4647">
        <w:rPr>
          <w:szCs w:val="20"/>
        </w:rPr>
        <w:t>., p. 1253.</w:t>
      </w:r>
    </w:p>
  </w:footnote>
  <w:footnote w:id="31">
    <w:p w14:paraId="5C41AEEE" w14:textId="06195608" w:rsidR="00835DD6" w:rsidRPr="000E4647" w:rsidRDefault="00835DD6">
      <w:pPr>
        <w:pStyle w:val="Notedebasdepage"/>
        <w:rPr>
          <w:bCs/>
          <w:szCs w:val="20"/>
        </w:rPr>
      </w:pPr>
      <w:r w:rsidRPr="000E4647">
        <w:rPr>
          <w:rStyle w:val="Marquenotebasdepage"/>
          <w:szCs w:val="20"/>
        </w:rPr>
        <w:footnoteRef/>
      </w:r>
      <w:r w:rsidRPr="000E4647">
        <w:rPr>
          <w:szCs w:val="20"/>
        </w:rPr>
        <w:t xml:space="preserve"> « </w:t>
      </w:r>
      <w:r w:rsidRPr="000E4647">
        <w:rPr>
          <w:bCs/>
          <w:szCs w:val="20"/>
        </w:rPr>
        <w:t>Saint-Martin, collectivité d</w:t>
      </w:r>
      <w:r>
        <w:rPr>
          <w:bCs/>
          <w:szCs w:val="20"/>
        </w:rPr>
        <w:t>’</w:t>
      </w:r>
      <w:r w:rsidRPr="000E4647">
        <w:rPr>
          <w:bCs/>
          <w:szCs w:val="20"/>
        </w:rPr>
        <w:t xml:space="preserve">outre-mer face à ses obligations de région ultrapériphérique », </w:t>
      </w:r>
      <w:r w:rsidRPr="000E4647">
        <w:rPr>
          <w:bCs/>
          <w:i/>
          <w:szCs w:val="20"/>
        </w:rPr>
        <w:t>Rev. UE</w:t>
      </w:r>
      <w:r w:rsidRPr="000E4647">
        <w:rPr>
          <w:bCs/>
          <w:szCs w:val="20"/>
        </w:rPr>
        <w:t>, 2015, n°589, p. 352.</w:t>
      </w:r>
    </w:p>
  </w:footnote>
  <w:footnote w:id="32">
    <w:p w14:paraId="21A591F8" w14:textId="77777777" w:rsidR="00835DD6" w:rsidRPr="000E4647" w:rsidRDefault="00835DD6" w:rsidP="00AC1799">
      <w:pPr>
        <w:jc w:val="both"/>
        <w:rPr>
          <w:sz w:val="20"/>
          <w:szCs w:val="20"/>
        </w:rPr>
      </w:pPr>
      <w:r w:rsidRPr="000E4647">
        <w:rPr>
          <w:rStyle w:val="Marquenotebasdepage"/>
          <w:sz w:val="20"/>
          <w:szCs w:val="20"/>
        </w:rPr>
        <w:footnoteRef/>
      </w:r>
      <w:r w:rsidRPr="000E4647">
        <w:rPr>
          <w:sz w:val="20"/>
          <w:szCs w:val="20"/>
        </w:rPr>
        <w:t xml:space="preserve"> V. le « discours de politique générale » du nouveau président du Conseil exécutif de la Collectivité (avril 2017) : </w:t>
      </w:r>
      <w:hyperlink r:id="rId2" w:history="1">
        <w:r w:rsidRPr="000E4647">
          <w:rPr>
            <w:sz w:val="20"/>
            <w:szCs w:val="20"/>
          </w:rPr>
          <w:t>http://www.com-saint-martin.eu/La-presidence_Saint-Martin-Services_492.html</w:t>
        </w:r>
      </w:hyperlink>
      <w:r w:rsidRPr="000E4647">
        <w:rPr>
          <w:sz w:val="20"/>
          <w:szCs w:val="20"/>
        </w:rPr>
        <w:t>.</w:t>
      </w:r>
    </w:p>
  </w:footnote>
  <w:footnote w:id="33">
    <w:p w14:paraId="37000054" w14:textId="2A4F3703" w:rsidR="00835DD6" w:rsidRPr="000E4647" w:rsidRDefault="00835DD6">
      <w:pPr>
        <w:pStyle w:val="Notedebasdepage"/>
        <w:rPr>
          <w:szCs w:val="20"/>
        </w:rPr>
      </w:pPr>
      <w:r w:rsidRPr="000E4647">
        <w:rPr>
          <w:rStyle w:val="Marquenotebasdepage"/>
          <w:szCs w:val="20"/>
        </w:rPr>
        <w:footnoteRef/>
      </w:r>
      <w:r w:rsidRPr="000E4647">
        <w:rPr>
          <w:szCs w:val="20"/>
        </w:rPr>
        <w:t xml:space="preserve"> </w:t>
      </w:r>
      <w:proofErr w:type="spellStart"/>
      <w:r w:rsidRPr="000E4647">
        <w:rPr>
          <w:szCs w:val="20"/>
        </w:rPr>
        <w:t>Memorandum</w:t>
      </w:r>
      <w:proofErr w:type="spellEnd"/>
      <w:r w:rsidRPr="000E4647">
        <w:rPr>
          <w:szCs w:val="20"/>
        </w:rPr>
        <w:t xml:space="preserve"> conjoint des régions ultrapériphériques. Pour un nouvel élan dans la mise en œuvre de l</w:t>
      </w:r>
      <w:r>
        <w:rPr>
          <w:szCs w:val="20"/>
        </w:rPr>
        <w:t>’</w:t>
      </w:r>
      <w:r w:rsidRPr="000E4647">
        <w:rPr>
          <w:szCs w:val="20"/>
        </w:rPr>
        <w:t>article 349 TFUE, mars 2017, document révisé en juin, p. 17.</w:t>
      </w:r>
    </w:p>
  </w:footnote>
  <w:footnote w:id="34">
    <w:p w14:paraId="5AD5CB51" w14:textId="243FD0F7" w:rsidR="00835DD6" w:rsidRPr="000E4647" w:rsidRDefault="00835DD6">
      <w:pPr>
        <w:pStyle w:val="Notedebasdepage"/>
        <w:rPr>
          <w:szCs w:val="20"/>
        </w:rPr>
      </w:pPr>
      <w:r w:rsidRPr="000E4647">
        <w:rPr>
          <w:rStyle w:val="Marquenotebasdepage"/>
          <w:szCs w:val="20"/>
        </w:rPr>
        <w:footnoteRef/>
      </w:r>
      <w:r w:rsidRPr="000E4647">
        <w:rPr>
          <w:szCs w:val="20"/>
        </w:rPr>
        <w:t xml:space="preserve"> Un partenariat stratégique renouvelé et renforcé avec les régions ultrapériphériques de l</w:t>
      </w:r>
      <w:r>
        <w:rPr>
          <w:szCs w:val="20"/>
        </w:rPr>
        <w:t>’</w:t>
      </w:r>
      <w:r w:rsidRPr="000E4647">
        <w:rPr>
          <w:szCs w:val="20"/>
        </w:rPr>
        <w:t>Union européenne, COM(2017) 623 final, p. 3.</w:t>
      </w:r>
    </w:p>
  </w:footnote>
  <w:footnote w:id="35">
    <w:p w14:paraId="659A3500" w14:textId="20D8C3D7" w:rsidR="00835DD6" w:rsidRPr="000E4647" w:rsidRDefault="00835DD6">
      <w:pPr>
        <w:pStyle w:val="Notedebasdepage"/>
        <w:rPr>
          <w:szCs w:val="20"/>
        </w:rPr>
      </w:pPr>
      <w:r w:rsidRPr="000E4647">
        <w:rPr>
          <w:rStyle w:val="Marquenotebasdepage"/>
          <w:szCs w:val="20"/>
        </w:rPr>
        <w:footnoteRef/>
      </w:r>
      <w:r w:rsidRPr="000E4647">
        <w:rPr>
          <w:szCs w:val="20"/>
        </w:rPr>
        <w:t xml:space="preserve"> Les régions ultrapériphériques : un atout pour l</w:t>
      </w:r>
      <w:r>
        <w:rPr>
          <w:szCs w:val="20"/>
        </w:rPr>
        <w:t>’</w:t>
      </w:r>
      <w:r w:rsidRPr="000E4647">
        <w:rPr>
          <w:szCs w:val="20"/>
        </w:rPr>
        <w:t>Europe, COM(2008) 642 final, 17 octobre 2008, p. 6.</w:t>
      </w:r>
    </w:p>
  </w:footnote>
  <w:footnote w:id="36">
    <w:p w14:paraId="1119FA6B" w14:textId="7268B601" w:rsidR="00835DD6" w:rsidRPr="000E4647" w:rsidRDefault="00835DD6" w:rsidP="009C2ADF">
      <w:pPr>
        <w:pStyle w:val="Notedebasdepage"/>
        <w:rPr>
          <w:szCs w:val="20"/>
        </w:rPr>
      </w:pPr>
      <w:r w:rsidRPr="000E4647">
        <w:rPr>
          <w:rStyle w:val="Marquenotebasdepage"/>
          <w:szCs w:val="20"/>
        </w:rPr>
        <w:footnoteRef/>
      </w:r>
      <w:r w:rsidRPr="000E4647">
        <w:rPr>
          <w:szCs w:val="20"/>
        </w:rPr>
        <w:t xml:space="preserve"> Rapport par remis par M. Letchimy (député et président du conseil régional de Martinique) au Premier ministre </w:t>
      </w:r>
      <w:r w:rsidRPr="000E4647">
        <w:rPr>
          <w:i/>
          <w:szCs w:val="20"/>
        </w:rPr>
        <w:t>L</w:t>
      </w:r>
      <w:r>
        <w:rPr>
          <w:i/>
          <w:szCs w:val="20"/>
        </w:rPr>
        <w:t>’</w:t>
      </w:r>
      <w:r w:rsidRPr="000E4647">
        <w:rPr>
          <w:i/>
          <w:szCs w:val="20"/>
        </w:rPr>
        <w:t>article 349 du Traité sur le fonctionnement de l</w:t>
      </w:r>
      <w:r>
        <w:rPr>
          <w:i/>
          <w:szCs w:val="20"/>
        </w:rPr>
        <w:t>’</w:t>
      </w:r>
      <w:r w:rsidRPr="000E4647">
        <w:rPr>
          <w:i/>
          <w:szCs w:val="20"/>
        </w:rPr>
        <w:t>Union européenne : contribution à l</w:t>
      </w:r>
      <w:r>
        <w:rPr>
          <w:i/>
          <w:szCs w:val="20"/>
        </w:rPr>
        <w:t>’</w:t>
      </w:r>
      <w:r w:rsidRPr="000E4647">
        <w:rPr>
          <w:i/>
          <w:szCs w:val="20"/>
        </w:rPr>
        <w:t>application du cadre dérogatoire au service d</w:t>
      </w:r>
      <w:r>
        <w:rPr>
          <w:i/>
          <w:szCs w:val="20"/>
        </w:rPr>
        <w:t>’</w:t>
      </w:r>
      <w:r w:rsidRPr="000E4647">
        <w:rPr>
          <w:i/>
          <w:szCs w:val="20"/>
        </w:rPr>
        <w:t>un projet global de développement des régions ultrapériphériques</w:t>
      </w:r>
      <w:r w:rsidRPr="000E4647">
        <w:rPr>
          <w:szCs w:val="20"/>
        </w:rPr>
        <w:t>, 24 mai 2013, p. 6.</w:t>
      </w:r>
    </w:p>
  </w:footnote>
  <w:footnote w:id="37">
    <w:p w14:paraId="56AC2A4E" w14:textId="5A13E668" w:rsidR="00835DD6" w:rsidRPr="000E4647" w:rsidRDefault="00835DD6">
      <w:pPr>
        <w:pStyle w:val="Notedebasdepage"/>
        <w:rPr>
          <w:szCs w:val="20"/>
        </w:rPr>
      </w:pPr>
      <w:r w:rsidRPr="000E4647">
        <w:rPr>
          <w:rStyle w:val="Marquenotebasdepage"/>
          <w:szCs w:val="20"/>
        </w:rPr>
        <w:footnoteRef/>
      </w:r>
      <w:r w:rsidRPr="000E4647">
        <w:rPr>
          <w:szCs w:val="20"/>
        </w:rPr>
        <w:t xml:space="preserve"> N. Rubio, « La consolidation du régime des régions </w:t>
      </w:r>
      <w:proofErr w:type="spellStart"/>
      <w:r w:rsidRPr="000E4647">
        <w:rPr>
          <w:szCs w:val="20"/>
        </w:rPr>
        <w:t>ultrapériphériques</w:t>
      </w:r>
      <w:proofErr w:type="spellEnd"/>
      <w:r w:rsidRPr="000E4647">
        <w:rPr>
          <w:szCs w:val="20"/>
        </w:rPr>
        <w:t xml:space="preserve"> par le traité de Lisbonne », </w:t>
      </w:r>
      <w:r w:rsidRPr="000E4647">
        <w:rPr>
          <w:i/>
          <w:szCs w:val="20"/>
        </w:rPr>
        <w:t>Gaz. Pal.</w:t>
      </w:r>
      <w:r w:rsidRPr="000E4647">
        <w:rPr>
          <w:szCs w:val="20"/>
        </w:rPr>
        <w:t xml:space="preserve"> 2008, n° 171, p. 65 s.</w:t>
      </w:r>
    </w:p>
  </w:footnote>
  <w:footnote w:id="38">
    <w:p w14:paraId="07D26D76" w14:textId="76CFB2AB" w:rsidR="00835DD6" w:rsidRPr="000E4647" w:rsidRDefault="00835DD6">
      <w:pPr>
        <w:pStyle w:val="Notedebasdepage"/>
        <w:rPr>
          <w:szCs w:val="20"/>
        </w:rPr>
      </w:pPr>
      <w:r w:rsidRPr="000E4647">
        <w:rPr>
          <w:rStyle w:val="Marquenotebasdepage"/>
          <w:szCs w:val="20"/>
        </w:rPr>
        <w:footnoteRef/>
      </w:r>
      <w:r w:rsidRPr="000E4647">
        <w:rPr>
          <w:szCs w:val="20"/>
        </w:rPr>
        <w:t xml:space="preserve"> D. Custos, </w:t>
      </w:r>
      <w:r w:rsidRPr="000E4647">
        <w:rPr>
          <w:bCs/>
          <w:szCs w:val="20"/>
        </w:rPr>
        <w:t>Champ d</w:t>
      </w:r>
      <w:r>
        <w:rPr>
          <w:bCs/>
          <w:szCs w:val="20"/>
        </w:rPr>
        <w:t>’</w:t>
      </w:r>
      <w:r w:rsidRPr="000E4647">
        <w:rPr>
          <w:bCs/>
          <w:szCs w:val="20"/>
        </w:rPr>
        <w:t>application du droit communautaire et de l</w:t>
      </w:r>
      <w:r>
        <w:rPr>
          <w:bCs/>
          <w:szCs w:val="20"/>
        </w:rPr>
        <w:t>’</w:t>
      </w:r>
      <w:r w:rsidRPr="000E4647">
        <w:rPr>
          <w:bCs/>
          <w:szCs w:val="20"/>
        </w:rPr>
        <w:t xml:space="preserve">Union. – Régions ultrapériphériques (RUP) : principes du statut européen, </w:t>
      </w:r>
      <w:r w:rsidRPr="000E4647">
        <w:rPr>
          <w:bCs/>
          <w:i/>
          <w:szCs w:val="20"/>
        </w:rPr>
        <w:t>JCP Europe</w:t>
      </w:r>
      <w:r w:rsidRPr="000E4647">
        <w:rPr>
          <w:bCs/>
          <w:szCs w:val="20"/>
        </w:rPr>
        <w:t>, fasc. 471, n° 2.</w:t>
      </w:r>
    </w:p>
  </w:footnote>
  <w:footnote w:id="39">
    <w:p w14:paraId="79927A2D" w14:textId="015F70D5" w:rsidR="00835DD6" w:rsidRPr="000E4647" w:rsidRDefault="00835DD6">
      <w:pPr>
        <w:pStyle w:val="Notedebasdepage"/>
        <w:rPr>
          <w:szCs w:val="20"/>
        </w:rPr>
      </w:pPr>
      <w:r w:rsidRPr="000E4647">
        <w:rPr>
          <w:rStyle w:val="Marquenotebasdepage"/>
          <w:szCs w:val="20"/>
        </w:rPr>
        <w:footnoteRef/>
      </w:r>
      <w:r w:rsidRPr="000E4647">
        <w:rPr>
          <w:szCs w:val="20"/>
        </w:rPr>
        <w:t xml:space="preserve"> F. Saint-Bonnet, </w:t>
      </w:r>
      <w:r w:rsidRPr="000E4647">
        <w:rPr>
          <w:i/>
          <w:szCs w:val="20"/>
        </w:rPr>
        <w:t>op. cit</w:t>
      </w:r>
      <w:r w:rsidRPr="000E4647">
        <w:rPr>
          <w:szCs w:val="20"/>
        </w:rPr>
        <w:t>., p. 673.</w:t>
      </w:r>
    </w:p>
  </w:footnote>
  <w:footnote w:id="40">
    <w:p w14:paraId="74B6773D" w14:textId="7E616C00" w:rsidR="00835DD6" w:rsidRPr="000E4647" w:rsidRDefault="00835DD6">
      <w:pPr>
        <w:pStyle w:val="Notedebasdepage"/>
        <w:rPr>
          <w:szCs w:val="20"/>
        </w:rPr>
      </w:pPr>
      <w:r w:rsidRPr="000E4647">
        <w:rPr>
          <w:rStyle w:val="Marquenotebasdepage"/>
          <w:szCs w:val="20"/>
        </w:rPr>
        <w:footnoteRef/>
      </w:r>
      <w:r w:rsidRPr="000E4647">
        <w:rPr>
          <w:szCs w:val="20"/>
        </w:rPr>
        <w:t xml:space="preserve"> Article 198 CEEA.</w:t>
      </w:r>
    </w:p>
  </w:footnote>
  <w:footnote w:id="41">
    <w:p w14:paraId="4BFF8680" w14:textId="0591848B" w:rsidR="00835DD6" w:rsidRPr="000E4647" w:rsidRDefault="00835DD6">
      <w:pPr>
        <w:pStyle w:val="Notedebasdepage"/>
        <w:rPr>
          <w:szCs w:val="20"/>
        </w:rPr>
      </w:pPr>
      <w:r w:rsidRPr="000E4647">
        <w:rPr>
          <w:rStyle w:val="Marquenotebasdepage"/>
          <w:szCs w:val="20"/>
        </w:rPr>
        <w:footnoteRef/>
      </w:r>
      <w:r w:rsidRPr="000E4647">
        <w:rPr>
          <w:szCs w:val="20"/>
        </w:rPr>
        <w:t xml:space="preserve"> </w:t>
      </w:r>
      <w:r w:rsidRPr="000E4647">
        <w:rPr>
          <w:bCs/>
          <w:szCs w:val="20"/>
          <w:lang w:eastAsia="en-US"/>
        </w:rPr>
        <w:t>Décision portant application à l</w:t>
      </w:r>
      <w:r>
        <w:rPr>
          <w:bCs/>
          <w:szCs w:val="20"/>
          <w:lang w:eastAsia="en-US"/>
        </w:rPr>
        <w:t>’</w:t>
      </w:r>
      <w:r w:rsidRPr="000E4647">
        <w:rPr>
          <w:bCs/>
          <w:szCs w:val="20"/>
          <w:lang w:eastAsia="en-US"/>
        </w:rPr>
        <w:t>Algérie et aux départements français d</w:t>
      </w:r>
      <w:r>
        <w:rPr>
          <w:bCs/>
          <w:szCs w:val="20"/>
          <w:lang w:eastAsia="en-US"/>
        </w:rPr>
        <w:t>’</w:t>
      </w:r>
      <w:r w:rsidRPr="000E4647">
        <w:rPr>
          <w:bCs/>
          <w:szCs w:val="20"/>
          <w:lang w:eastAsia="en-US"/>
        </w:rPr>
        <w:t>outre-mer des dispositions du traité relatives aux mouvements de capitaux</w:t>
      </w:r>
      <w:r w:rsidRPr="000E4647">
        <w:rPr>
          <w:bCs/>
          <w:szCs w:val="20"/>
        </w:rPr>
        <w:t>, JOCE 43, 12 juillet 1960, p. 919.</w:t>
      </w:r>
    </w:p>
  </w:footnote>
  <w:footnote w:id="42">
    <w:p w14:paraId="556BBDD6" w14:textId="29894209" w:rsidR="00835DD6" w:rsidRPr="000E4647" w:rsidRDefault="00835DD6">
      <w:pPr>
        <w:pStyle w:val="Notedebasdepage"/>
        <w:rPr>
          <w:szCs w:val="20"/>
          <w:lang w:eastAsia="en-US"/>
        </w:rPr>
      </w:pPr>
      <w:r w:rsidRPr="000E4647">
        <w:rPr>
          <w:rStyle w:val="Marquenotebasdepage"/>
          <w:szCs w:val="20"/>
        </w:rPr>
        <w:footnoteRef/>
      </w:r>
      <w:r w:rsidRPr="000E4647">
        <w:rPr>
          <w:szCs w:val="20"/>
        </w:rPr>
        <w:t xml:space="preserve"> </w:t>
      </w:r>
      <w:r w:rsidRPr="000E4647">
        <w:rPr>
          <w:bCs/>
          <w:szCs w:val="20"/>
          <w:lang w:eastAsia="en-US"/>
        </w:rPr>
        <w:t xml:space="preserve">Décision </w:t>
      </w:r>
      <w:r w:rsidRPr="000E4647">
        <w:rPr>
          <w:bCs/>
          <w:szCs w:val="20"/>
        </w:rPr>
        <w:t xml:space="preserve">64/350/CEE </w:t>
      </w:r>
      <w:r w:rsidRPr="000E4647">
        <w:rPr>
          <w:bCs/>
          <w:szCs w:val="20"/>
          <w:lang w:eastAsia="en-US"/>
        </w:rPr>
        <w:t xml:space="preserve">du Conseil, du 25 février 1964, </w:t>
      </w:r>
      <w:r w:rsidRPr="000E4647">
        <w:rPr>
          <w:bCs/>
          <w:szCs w:val="20"/>
        </w:rPr>
        <w:t>JOCE 93, 11 juin 1964, p. 1484.</w:t>
      </w:r>
    </w:p>
  </w:footnote>
  <w:footnote w:id="43">
    <w:p w14:paraId="66BED9AE" w14:textId="3C0D3AE3" w:rsidR="00835DD6" w:rsidRPr="000E4647" w:rsidRDefault="00835DD6" w:rsidP="00BC43C2">
      <w:pPr>
        <w:pStyle w:val="Notedebasdepage"/>
        <w:rPr>
          <w:bCs/>
          <w:szCs w:val="20"/>
        </w:rPr>
      </w:pPr>
      <w:r w:rsidRPr="000E4647">
        <w:rPr>
          <w:rStyle w:val="Marquenotebasdepage"/>
          <w:szCs w:val="20"/>
        </w:rPr>
        <w:footnoteRef/>
      </w:r>
      <w:r w:rsidRPr="000E4647">
        <w:rPr>
          <w:bCs/>
          <w:szCs w:val="20"/>
        </w:rPr>
        <w:t xml:space="preserve"> Décision </w:t>
      </w:r>
      <w:r w:rsidRPr="000E4647">
        <w:rPr>
          <w:szCs w:val="20"/>
        </w:rPr>
        <w:t>68/35</w:t>
      </w:r>
      <w:r w:rsidRPr="000E4647">
        <w:rPr>
          <w:bCs/>
          <w:szCs w:val="20"/>
        </w:rPr>
        <w:t>9/CEE du Conseil, du 15 octobre 1968, portant application aux départements français d</w:t>
      </w:r>
      <w:r>
        <w:rPr>
          <w:bCs/>
          <w:szCs w:val="20"/>
        </w:rPr>
        <w:t>’</w:t>
      </w:r>
      <w:r w:rsidRPr="000E4647">
        <w:rPr>
          <w:bCs/>
          <w:szCs w:val="20"/>
        </w:rPr>
        <w:t xml:space="preserve">outre- mer des articles 48 et 49 du traité, </w:t>
      </w:r>
      <w:r w:rsidRPr="000E4647">
        <w:rPr>
          <w:bCs/>
          <w:iCs/>
          <w:szCs w:val="20"/>
        </w:rPr>
        <w:t>JOCE L 257, 19 octobre 1968, p. 1.</w:t>
      </w:r>
    </w:p>
  </w:footnote>
  <w:footnote w:id="44">
    <w:p w14:paraId="3241B172" w14:textId="31CD3918" w:rsidR="00835DD6" w:rsidRPr="000E4647" w:rsidRDefault="00835DD6">
      <w:pPr>
        <w:pStyle w:val="Notedebasdepage"/>
        <w:rPr>
          <w:szCs w:val="20"/>
        </w:rPr>
      </w:pPr>
      <w:r w:rsidRPr="000E4647">
        <w:rPr>
          <w:rStyle w:val="Marquenotebasdepage"/>
          <w:szCs w:val="20"/>
        </w:rPr>
        <w:footnoteRef/>
      </w:r>
      <w:r w:rsidRPr="000E4647">
        <w:rPr>
          <w:b/>
          <w:bCs/>
          <w:szCs w:val="20"/>
        </w:rPr>
        <w:t xml:space="preserve"> </w:t>
      </w:r>
      <w:r w:rsidRPr="000E4647">
        <w:rPr>
          <w:bCs/>
          <w:szCs w:val="20"/>
        </w:rPr>
        <w:t>Décision 71/238/CEE du Conseil, du 14 juin 1971, JOCE</w:t>
      </w:r>
      <w:r w:rsidRPr="000E4647">
        <w:rPr>
          <w:iCs/>
          <w:szCs w:val="20"/>
        </w:rPr>
        <w:t xml:space="preserve"> L 149, 5 juillet 1971, p. 1.</w:t>
      </w:r>
    </w:p>
  </w:footnote>
  <w:footnote w:id="45">
    <w:p w14:paraId="5BD0C23F" w14:textId="0A3E2577" w:rsidR="00835DD6" w:rsidRPr="000E4647" w:rsidRDefault="00835DD6">
      <w:pPr>
        <w:pStyle w:val="Notedebasdepage"/>
        <w:rPr>
          <w:bCs/>
          <w:szCs w:val="20"/>
        </w:rPr>
      </w:pPr>
      <w:r w:rsidRPr="000E4647">
        <w:rPr>
          <w:rStyle w:val="Marquenotebasdepage"/>
          <w:szCs w:val="20"/>
        </w:rPr>
        <w:footnoteRef/>
      </w:r>
      <w:r w:rsidRPr="000E4647">
        <w:rPr>
          <w:bCs/>
          <w:szCs w:val="20"/>
        </w:rPr>
        <w:t xml:space="preserve"> Décision 71/364/CEE du Conseil, du 8 novembre 1971, JOCE L 249, 10 novembre 1971, p. 73.</w:t>
      </w:r>
    </w:p>
  </w:footnote>
  <w:footnote w:id="46">
    <w:p w14:paraId="66422B29" w14:textId="7A551706" w:rsidR="00835DD6" w:rsidRPr="000E4647" w:rsidRDefault="00835DD6" w:rsidP="002C4612">
      <w:pPr>
        <w:pStyle w:val="Notedebasdepage"/>
        <w:rPr>
          <w:szCs w:val="20"/>
        </w:rPr>
      </w:pPr>
      <w:r w:rsidRPr="000E4647">
        <w:rPr>
          <w:rStyle w:val="Marquenotebasdepage"/>
          <w:szCs w:val="20"/>
        </w:rPr>
        <w:footnoteRef/>
      </w:r>
      <w:r w:rsidRPr="000E4647">
        <w:rPr>
          <w:szCs w:val="20"/>
        </w:rPr>
        <w:t xml:space="preserve"> Pour un exemple : règlement (CEE) n° 109/70 du Conseil du 19 décembre 1969, portant établissement d</w:t>
      </w:r>
      <w:r>
        <w:rPr>
          <w:szCs w:val="20"/>
        </w:rPr>
        <w:t>’</w:t>
      </w:r>
      <w:r w:rsidRPr="000E4647">
        <w:rPr>
          <w:szCs w:val="20"/>
        </w:rPr>
        <w:t>un régime commun applicable aux importations de pays à commerce d</w:t>
      </w:r>
      <w:r>
        <w:rPr>
          <w:szCs w:val="20"/>
        </w:rPr>
        <w:t>’</w:t>
      </w:r>
      <w:r w:rsidRPr="000E4647">
        <w:rPr>
          <w:szCs w:val="20"/>
        </w:rPr>
        <w:t>État suivi du règlement (CEE) n° 110/70 du Conseil du même jour, relatif à l</w:t>
      </w:r>
      <w:r>
        <w:rPr>
          <w:szCs w:val="20"/>
        </w:rPr>
        <w:t>’</w:t>
      </w:r>
      <w:r w:rsidRPr="000E4647">
        <w:rPr>
          <w:szCs w:val="20"/>
        </w:rPr>
        <w:t>application aux départements d</w:t>
      </w:r>
      <w:r>
        <w:rPr>
          <w:szCs w:val="20"/>
        </w:rPr>
        <w:t>’</w:t>
      </w:r>
      <w:r w:rsidRPr="000E4647">
        <w:rPr>
          <w:szCs w:val="20"/>
        </w:rPr>
        <w:t>outre-mer du règlement (CEE) n° 109/70, JOCE L 19, 26 janvier 1970, p. 1 et 43.</w:t>
      </w:r>
    </w:p>
  </w:footnote>
  <w:footnote w:id="47">
    <w:p w14:paraId="0B737161" w14:textId="736B4775" w:rsidR="00835DD6" w:rsidRPr="000E4647" w:rsidRDefault="00835DD6" w:rsidP="002C4612">
      <w:pPr>
        <w:pStyle w:val="Notedebasdepage"/>
        <w:rPr>
          <w:szCs w:val="20"/>
          <w:lang w:eastAsia="en-US"/>
        </w:rPr>
      </w:pPr>
      <w:r w:rsidRPr="000E4647">
        <w:rPr>
          <w:rStyle w:val="Marquenotebasdepage"/>
          <w:szCs w:val="20"/>
        </w:rPr>
        <w:footnoteRef/>
      </w:r>
      <w:r w:rsidRPr="000E4647">
        <w:rPr>
          <w:szCs w:val="20"/>
        </w:rPr>
        <w:t xml:space="preserve"> </w:t>
      </w:r>
      <w:r w:rsidRPr="000E4647">
        <w:rPr>
          <w:bCs/>
          <w:szCs w:val="20"/>
          <w:lang w:eastAsia="en-US"/>
        </w:rPr>
        <w:t>Décision du Conseil du 18 avril 1967, relative à l</w:t>
      </w:r>
      <w:r>
        <w:rPr>
          <w:bCs/>
          <w:szCs w:val="20"/>
          <w:lang w:eastAsia="en-US"/>
        </w:rPr>
        <w:t>’</w:t>
      </w:r>
      <w:r w:rsidRPr="000E4647">
        <w:rPr>
          <w:bCs/>
          <w:szCs w:val="20"/>
          <w:lang w:eastAsia="en-US"/>
        </w:rPr>
        <w:t>application aux départements français d</w:t>
      </w:r>
      <w:r>
        <w:rPr>
          <w:bCs/>
          <w:szCs w:val="20"/>
          <w:lang w:eastAsia="en-US"/>
        </w:rPr>
        <w:t>’</w:t>
      </w:r>
      <w:r w:rsidRPr="000E4647">
        <w:rPr>
          <w:bCs/>
          <w:szCs w:val="20"/>
          <w:lang w:eastAsia="en-US"/>
        </w:rPr>
        <w:t>outre-mer du règlement n° 160/66/CEE du Conseil portant instauration d</w:t>
      </w:r>
      <w:r>
        <w:rPr>
          <w:bCs/>
          <w:szCs w:val="20"/>
          <w:lang w:eastAsia="en-US"/>
        </w:rPr>
        <w:t>’</w:t>
      </w:r>
      <w:r w:rsidRPr="000E4647">
        <w:rPr>
          <w:bCs/>
          <w:szCs w:val="20"/>
          <w:lang w:eastAsia="en-US"/>
        </w:rPr>
        <w:t>un régime d</w:t>
      </w:r>
      <w:r>
        <w:rPr>
          <w:bCs/>
          <w:szCs w:val="20"/>
          <w:lang w:eastAsia="en-US"/>
        </w:rPr>
        <w:t>’</w:t>
      </w:r>
      <w:r w:rsidRPr="000E4647">
        <w:rPr>
          <w:bCs/>
          <w:szCs w:val="20"/>
          <w:lang w:eastAsia="en-US"/>
        </w:rPr>
        <w:t>échanges pour certaines marchandises résultant de la transformation de produits agricoles,</w:t>
      </w:r>
      <w:r w:rsidRPr="000E4647">
        <w:rPr>
          <w:szCs w:val="20"/>
          <w:lang w:eastAsia="en-US"/>
        </w:rPr>
        <w:t xml:space="preserve"> </w:t>
      </w:r>
      <w:r w:rsidRPr="000E4647">
        <w:rPr>
          <w:iCs/>
          <w:szCs w:val="20"/>
          <w:lang w:eastAsia="en-US"/>
        </w:rPr>
        <w:t>JOCE 81, 26 avril 1967, p. 1630.</w:t>
      </w:r>
    </w:p>
  </w:footnote>
  <w:footnote w:id="48">
    <w:p w14:paraId="15AB378C" w14:textId="6167DFB8" w:rsidR="00835DD6" w:rsidRPr="000E4647" w:rsidRDefault="00835DD6">
      <w:pPr>
        <w:pStyle w:val="Notedebasdepage"/>
        <w:rPr>
          <w:szCs w:val="20"/>
        </w:rPr>
      </w:pPr>
      <w:r w:rsidRPr="000E4647">
        <w:rPr>
          <w:rStyle w:val="Marquenotebasdepage"/>
          <w:szCs w:val="20"/>
        </w:rPr>
        <w:footnoteRef/>
      </w:r>
      <w:r w:rsidRPr="000E4647">
        <w:rPr>
          <w:szCs w:val="20"/>
        </w:rPr>
        <w:t xml:space="preserve"> V. I. Vestris, « Statuts internes, statut de régions ultrapériphériques : une interaction relative », in D. Blanc et F. Cafarelli, </w:t>
      </w:r>
      <w:r w:rsidRPr="000E4647">
        <w:rPr>
          <w:i/>
          <w:szCs w:val="20"/>
        </w:rPr>
        <w:t>op. cit</w:t>
      </w:r>
      <w:r w:rsidRPr="000E4647">
        <w:rPr>
          <w:szCs w:val="20"/>
        </w:rPr>
        <w:t>., p. 171.</w:t>
      </w:r>
    </w:p>
  </w:footnote>
  <w:footnote w:id="49">
    <w:p w14:paraId="7ED8DC59" w14:textId="53582AED" w:rsidR="00835DD6" w:rsidRPr="000E4647" w:rsidRDefault="00835DD6" w:rsidP="006814FE">
      <w:pPr>
        <w:pStyle w:val="Notedebasdepage"/>
        <w:rPr>
          <w:szCs w:val="20"/>
        </w:rPr>
      </w:pPr>
      <w:r w:rsidRPr="000E4647">
        <w:rPr>
          <w:rStyle w:val="Marquenotebasdepage"/>
          <w:szCs w:val="20"/>
        </w:rPr>
        <w:footnoteRef/>
      </w:r>
      <w:r w:rsidRPr="000E4647">
        <w:rPr>
          <w:szCs w:val="20"/>
        </w:rPr>
        <w:t xml:space="preserve"> CJCE, 10 octobre 1978, </w:t>
      </w:r>
      <w:r w:rsidRPr="000E4647">
        <w:rPr>
          <w:iCs/>
          <w:szCs w:val="20"/>
        </w:rPr>
        <w:t>Hansen</w:t>
      </w:r>
      <w:r w:rsidRPr="000E4647">
        <w:rPr>
          <w:iCs/>
          <w:szCs w:val="20"/>
          <w:lang w:eastAsia="en-US"/>
        </w:rPr>
        <w:t xml:space="preserve"> c. </w:t>
      </w:r>
      <w:proofErr w:type="spellStart"/>
      <w:r w:rsidRPr="000E4647">
        <w:rPr>
          <w:iCs/>
          <w:szCs w:val="20"/>
        </w:rPr>
        <w:t>Hauptzollamt</w:t>
      </w:r>
      <w:proofErr w:type="spellEnd"/>
      <w:r w:rsidRPr="000E4647">
        <w:rPr>
          <w:iCs/>
          <w:szCs w:val="20"/>
        </w:rPr>
        <w:t xml:space="preserve"> Flensburg</w:t>
      </w:r>
      <w:r w:rsidRPr="000E4647">
        <w:rPr>
          <w:i/>
          <w:iCs/>
          <w:szCs w:val="20"/>
        </w:rPr>
        <w:t xml:space="preserve">, </w:t>
      </w:r>
      <w:r w:rsidRPr="000E4647">
        <w:rPr>
          <w:iCs/>
          <w:szCs w:val="20"/>
        </w:rPr>
        <w:t>aff. 148/77</w:t>
      </w:r>
      <w:r w:rsidRPr="000E4647">
        <w:rPr>
          <w:szCs w:val="20"/>
        </w:rPr>
        <w:t>,</w:t>
      </w:r>
      <w:r w:rsidRPr="000E4647">
        <w:rPr>
          <w:i/>
          <w:szCs w:val="20"/>
        </w:rPr>
        <w:t xml:space="preserve"> </w:t>
      </w:r>
      <w:r w:rsidRPr="000E4647">
        <w:rPr>
          <w:szCs w:val="20"/>
        </w:rPr>
        <w:t>ECLI:EU:C:1978:173, pts 9 et 10.</w:t>
      </w:r>
    </w:p>
  </w:footnote>
  <w:footnote w:id="50">
    <w:p w14:paraId="2AAFA4D2" w14:textId="49AD7192" w:rsidR="00835DD6" w:rsidRPr="000E4647" w:rsidRDefault="00835DD6">
      <w:pPr>
        <w:pStyle w:val="Notedebasdepage"/>
        <w:rPr>
          <w:szCs w:val="20"/>
        </w:rPr>
      </w:pPr>
      <w:r w:rsidRPr="000E4647">
        <w:rPr>
          <w:rStyle w:val="Marquenotebasdepage"/>
          <w:szCs w:val="20"/>
        </w:rPr>
        <w:footnoteRef/>
      </w:r>
      <w:r w:rsidRPr="000E4647">
        <w:rPr>
          <w:szCs w:val="20"/>
        </w:rPr>
        <w:t xml:space="preserve"> Aucune chronique de jurisprudence de la CJCE dans les principales revues de droit international et de droit communautaire n</w:t>
      </w:r>
      <w:r>
        <w:rPr>
          <w:szCs w:val="20"/>
        </w:rPr>
        <w:t>’</w:t>
      </w:r>
      <w:r w:rsidRPr="000E4647">
        <w:rPr>
          <w:szCs w:val="20"/>
        </w:rPr>
        <w:t>en rend compte sous cet angle.</w:t>
      </w:r>
    </w:p>
  </w:footnote>
  <w:footnote w:id="51">
    <w:p w14:paraId="26327E70" w14:textId="6E2EFF46" w:rsidR="00835DD6" w:rsidRPr="000E4647" w:rsidRDefault="00835DD6">
      <w:pPr>
        <w:pStyle w:val="Notedebasdepage"/>
        <w:rPr>
          <w:szCs w:val="20"/>
        </w:rPr>
      </w:pPr>
      <w:r w:rsidRPr="000E4647">
        <w:rPr>
          <w:rStyle w:val="Marquenotebasdepage"/>
          <w:szCs w:val="20"/>
        </w:rPr>
        <w:footnoteRef/>
      </w:r>
      <w:r w:rsidRPr="000E4647">
        <w:rPr>
          <w:szCs w:val="20"/>
        </w:rPr>
        <w:t xml:space="preserve"> </w:t>
      </w:r>
      <w:r w:rsidRPr="000E4647">
        <w:rPr>
          <w:bCs/>
          <w:szCs w:val="20"/>
        </w:rPr>
        <w:t>Onzième directive 80/368/CEE du Conseil, du 26 mars 1980, en matière d</w:t>
      </w:r>
      <w:r>
        <w:rPr>
          <w:bCs/>
          <w:szCs w:val="20"/>
        </w:rPr>
        <w:t>’</w:t>
      </w:r>
      <w:r w:rsidRPr="000E4647">
        <w:rPr>
          <w:bCs/>
          <w:szCs w:val="20"/>
        </w:rPr>
        <w:t>harmonisation des législations des États membres relatives aux taxes sur le chiffre d</w:t>
      </w:r>
      <w:r>
        <w:rPr>
          <w:bCs/>
          <w:szCs w:val="20"/>
        </w:rPr>
        <w:t>’</w:t>
      </w:r>
      <w:r w:rsidRPr="000E4647">
        <w:rPr>
          <w:bCs/>
          <w:szCs w:val="20"/>
        </w:rPr>
        <w:t>affaires - Exclusion des départements français d</w:t>
      </w:r>
      <w:r>
        <w:rPr>
          <w:bCs/>
          <w:szCs w:val="20"/>
        </w:rPr>
        <w:t>’</w:t>
      </w:r>
      <w:r w:rsidRPr="000E4647">
        <w:rPr>
          <w:bCs/>
          <w:szCs w:val="20"/>
        </w:rPr>
        <w:t>outre-mer du champ d</w:t>
      </w:r>
      <w:r>
        <w:rPr>
          <w:bCs/>
          <w:szCs w:val="20"/>
        </w:rPr>
        <w:t>’</w:t>
      </w:r>
      <w:r w:rsidRPr="000E4647">
        <w:rPr>
          <w:bCs/>
          <w:szCs w:val="20"/>
        </w:rPr>
        <w:t>application de la directive 77/388/CEE ; d</w:t>
      </w:r>
      <w:r w:rsidRPr="000E4647">
        <w:rPr>
          <w:bCs/>
          <w:iCs/>
          <w:szCs w:val="20"/>
        </w:rPr>
        <w:t>irective 80/369/CEE du Conseil autorisant la République française à ne pas appliquer dans les départements français d</w:t>
      </w:r>
      <w:r>
        <w:rPr>
          <w:bCs/>
          <w:iCs/>
          <w:szCs w:val="20"/>
        </w:rPr>
        <w:t>’</w:t>
      </w:r>
      <w:r w:rsidRPr="000E4647">
        <w:rPr>
          <w:bCs/>
          <w:iCs/>
          <w:szCs w:val="20"/>
        </w:rPr>
        <w:t>outre-mer les directives 72/464/CEE et 79/32/CEE concernant les impôts autres que les taxes sur le chiffre d</w:t>
      </w:r>
      <w:r>
        <w:rPr>
          <w:bCs/>
          <w:iCs/>
          <w:szCs w:val="20"/>
        </w:rPr>
        <w:t>’</w:t>
      </w:r>
      <w:r w:rsidRPr="000E4647">
        <w:rPr>
          <w:bCs/>
          <w:iCs/>
          <w:szCs w:val="20"/>
        </w:rPr>
        <w:t>affaires frappant la consommation des tabacs manufacturés, JOCE L 90, 3 avril 1980, respectivement p. 41 et 42.</w:t>
      </w:r>
    </w:p>
  </w:footnote>
  <w:footnote w:id="52">
    <w:p w14:paraId="18AD0E7C" w14:textId="0FF6312A" w:rsidR="00835DD6" w:rsidRPr="000E4647" w:rsidRDefault="00835DD6" w:rsidP="00D511EA">
      <w:pPr>
        <w:pStyle w:val="Notedebasdepage"/>
        <w:rPr>
          <w:szCs w:val="20"/>
        </w:rPr>
      </w:pPr>
      <w:r w:rsidRPr="000E4647">
        <w:rPr>
          <w:rStyle w:val="Marquenotebasdepage"/>
          <w:szCs w:val="20"/>
        </w:rPr>
        <w:footnoteRef/>
      </w:r>
      <w:r w:rsidRPr="000E4647">
        <w:rPr>
          <w:szCs w:val="20"/>
        </w:rPr>
        <w:t xml:space="preserve"> Ce que suggère l</w:t>
      </w:r>
      <w:r>
        <w:rPr>
          <w:szCs w:val="20"/>
        </w:rPr>
        <w:t>’</w:t>
      </w:r>
      <w:r w:rsidRPr="000E4647">
        <w:rPr>
          <w:szCs w:val="20"/>
        </w:rPr>
        <w:t>expression « </w:t>
      </w:r>
      <w:r w:rsidRPr="000E4647">
        <w:rPr>
          <w:i/>
          <w:szCs w:val="20"/>
        </w:rPr>
        <w:t>au plus tard</w:t>
      </w:r>
      <w:r w:rsidRPr="000E4647">
        <w:rPr>
          <w:szCs w:val="20"/>
        </w:rPr>
        <w:t xml:space="preserve"> deux ans après son entrée en vigueur », nous soulignons. Dans ses conclusions l</w:t>
      </w:r>
      <w:r>
        <w:rPr>
          <w:szCs w:val="20"/>
        </w:rPr>
        <w:t>’</w:t>
      </w:r>
      <w:r w:rsidRPr="000E4647">
        <w:rPr>
          <w:szCs w:val="20"/>
        </w:rPr>
        <w:t xml:space="preserve">avocat général M. </w:t>
      </w:r>
      <w:proofErr w:type="spellStart"/>
      <w:r w:rsidRPr="000E4647">
        <w:rPr>
          <w:szCs w:val="20"/>
        </w:rPr>
        <w:t>Capotorti</w:t>
      </w:r>
      <w:proofErr w:type="spellEnd"/>
      <w:r w:rsidRPr="000E4647">
        <w:rPr>
          <w:szCs w:val="20"/>
        </w:rPr>
        <w:t xml:space="preserve"> commence par considérer qu</w:t>
      </w:r>
      <w:r>
        <w:rPr>
          <w:szCs w:val="20"/>
        </w:rPr>
        <w:t>’</w:t>
      </w:r>
      <w:r w:rsidRPr="000E4647">
        <w:rPr>
          <w:szCs w:val="20"/>
        </w:rPr>
        <w:t>« à l</w:t>
      </w:r>
      <w:r>
        <w:rPr>
          <w:szCs w:val="20"/>
        </w:rPr>
        <w:t>’</w:t>
      </w:r>
      <w:r w:rsidRPr="000E4647">
        <w:rPr>
          <w:szCs w:val="20"/>
        </w:rPr>
        <w:t>expiration de ce délai, tout le traité est devenu applicable », puis cède devant un argument tenant plus du principe de réalité : l</w:t>
      </w:r>
      <w:r>
        <w:rPr>
          <w:szCs w:val="20"/>
        </w:rPr>
        <w:t>’</w:t>
      </w:r>
      <w:r w:rsidRPr="000E4647">
        <w:rPr>
          <w:szCs w:val="20"/>
        </w:rPr>
        <w:t>adoption de décision</w:t>
      </w:r>
      <w:r>
        <w:rPr>
          <w:szCs w:val="20"/>
        </w:rPr>
        <w:t>s</w:t>
      </w:r>
      <w:r w:rsidRPr="000E4647">
        <w:rPr>
          <w:szCs w:val="20"/>
        </w:rPr>
        <w:t xml:space="preserve"> du Conseil comme on le sait à l</w:t>
      </w:r>
      <w:r>
        <w:rPr>
          <w:szCs w:val="20"/>
        </w:rPr>
        <w:t>’</w:t>
      </w:r>
      <w:r w:rsidRPr="000E4647">
        <w:rPr>
          <w:szCs w:val="20"/>
        </w:rPr>
        <w:t xml:space="preserve">issue de ce délai, v. conclusions, rec. p. 1816. </w:t>
      </w:r>
    </w:p>
  </w:footnote>
  <w:footnote w:id="53">
    <w:p w14:paraId="2807EDA3" w14:textId="67700675" w:rsidR="00835DD6" w:rsidRPr="000E4647" w:rsidRDefault="00835DD6">
      <w:pPr>
        <w:pStyle w:val="Notedebasdepage"/>
        <w:rPr>
          <w:szCs w:val="20"/>
        </w:rPr>
      </w:pPr>
      <w:r w:rsidRPr="000E4647">
        <w:rPr>
          <w:rStyle w:val="Marquenotebasdepage"/>
          <w:szCs w:val="20"/>
        </w:rPr>
        <w:footnoteRef/>
      </w:r>
      <w:r w:rsidRPr="000E4647">
        <w:rPr>
          <w:szCs w:val="20"/>
        </w:rPr>
        <w:t xml:space="preserve"> M. </w:t>
      </w:r>
      <w:proofErr w:type="spellStart"/>
      <w:r w:rsidRPr="000E4647">
        <w:rPr>
          <w:szCs w:val="20"/>
        </w:rPr>
        <w:t>Dony</w:t>
      </w:r>
      <w:proofErr w:type="spellEnd"/>
      <w:r w:rsidRPr="000E4647">
        <w:rPr>
          <w:szCs w:val="20"/>
        </w:rPr>
        <w:t xml:space="preserve">, « Territoire communautaire », in A. </w:t>
      </w:r>
      <w:proofErr w:type="spellStart"/>
      <w:r w:rsidRPr="000E4647">
        <w:rPr>
          <w:szCs w:val="20"/>
        </w:rPr>
        <w:t>Barav</w:t>
      </w:r>
      <w:proofErr w:type="spellEnd"/>
      <w:r w:rsidRPr="000E4647">
        <w:rPr>
          <w:szCs w:val="20"/>
        </w:rPr>
        <w:t xml:space="preserve"> et C. Philip (dir.), </w:t>
      </w:r>
      <w:r w:rsidRPr="000E4647">
        <w:rPr>
          <w:i/>
          <w:szCs w:val="20"/>
        </w:rPr>
        <w:t>Dictionnaire juridique des Communautés européennes</w:t>
      </w:r>
      <w:r w:rsidRPr="000E4647">
        <w:rPr>
          <w:szCs w:val="20"/>
        </w:rPr>
        <w:t>, Paris, PUF, 1993, p. 1075.</w:t>
      </w:r>
    </w:p>
  </w:footnote>
  <w:footnote w:id="54">
    <w:p w14:paraId="33646C2D" w14:textId="3DBD72EB" w:rsidR="00835DD6" w:rsidRPr="000E4647" w:rsidRDefault="00835DD6">
      <w:pPr>
        <w:pStyle w:val="Notedebasdepage"/>
        <w:rPr>
          <w:szCs w:val="20"/>
        </w:rPr>
      </w:pPr>
      <w:r w:rsidRPr="000E4647">
        <w:rPr>
          <w:rStyle w:val="Marquenotebasdepage"/>
          <w:szCs w:val="20"/>
        </w:rPr>
        <w:footnoteRef/>
      </w:r>
      <w:r w:rsidRPr="000E4647">
        <w:rPr>
          <w:szCs w:val="20"/>
        </w:rPr>
        <w:t xml:space="preserve"> CJCE, 16 juillet 1992, Administration des douanes et droits indirects c. Léopold Legros et autres, aff. C-163/90, pt. 8, ECLI:EU:C:1992:326.</w:t>
      </w:r>
    </w:p>
  </w:footnote>
  <w:footnote w:id="55">
    <w:p w14:paraId="48FF6A81" w14:textId="08BA60FB" w:rsidR="00835DD6" w:rsidRPr="000E4647" w:rsidRDefault="00835DD6">
      <w:pPr>
        <w:pStyle w:val="Notedebasdepage"/>
        <w:rPr>
          <w:szCs w:val="20"/>
        </w:rPr>
      </w:pPr>
      <w:r w:rsidRPr="000E4647">
        <w:rPr>
          <w:rStyle w:val="Marquenotebasdepage"/>
          <w:szCs w:val="20"/>
        </w:rPr>
        <w:footnoteRef/>
      </w:r>
      <w:r w:rsidRPr="000E4647">
        <w:rPr>
          <w:szCs w:val="20"/>
        </w:rPr>
        <w:t xml:space="preserve"> CJCE, 9 août 1994, René </w:t>
      </w:r>
      <w:proofErr w:type="spellStart"/>
      <w:r w:rsidRPr="000E4647">
        <w:rPr>
          <w:szCs w:val="20"/>
        </w:rPr>
        <w:t>Lancry</w:t>
      </w:r>
      <w:proofErr w:type="spellEnd"/>
      <w:r w:rsidRPr="000E4647">
        <w:rPr>
          <w:szCs w:val="20"/>
        </w:rPr>
        <w:t xml:space="preserve"> SA c. Direction générale des douanes et Société </w:t>
      </w:r>
      <w:proofErr w:type="spellStart"/>
      <w:r w:rsidRPr="000E4647">
        <w:rPr>
          <w:szCs w:val="20"/>
        </w:rPr>
        <w:t>Dindar</w:t>
      </w:r>
      <w:proofErr w:type="spellEnd"/>
      <w:r w:rsidRPr="000E4647">
        <w:rPr>
          <w:szCs w:val="20"/>
        </w:rPr>
        <w:t xml:space="preserve"> Confort, Christian Ah-Son, Paul </w:t>
      </w:r>
      <w:proofErr w:type="spellStart"/>
      <w:r w:rsidRPr="000E4647">
        <w:rPr>
          <w:szCs w:val="20"/>
        </w:rPr>
        <w:t>Chevassus</w:t>
      </w:r>
      <w:proofErr w:type="spellEnd"/>
      <w:r w:rsidRPr="000E4647">
        <w:rPr>
          <w:szCs w:val="20"/>
        </w:rPr>
        <w:t xml:space="preserve">-Marche, Société </w:t>
      </w:r>
      <w:proofErr w:type="spellStart"/>
      <w:r w:rsidRPr="000E4647">
        <w:rPr>
          <w:szCs w:val="20"/>
        </w:rPr>
        <w:t>Conforéunion</w:t>
      </w:r>
      <w:proofErr w:type="spellEnd"/>
      <w:r w:rsidRPr="000E4647">
        <w:rPr>
          <w:szCs w:val="20"/>
        </w:rPr>
        <w:t xml:space="preserve"> et Société </w:t>
      </w:r>
      <w:proofErr w:type="spellStart"/>
      <w:r w:rsidRPr="000E4647">
        <w:rPr>
          <w:szCs w:val="20"/>
        </w:rPr>
        <w:t>Dindar</w:t>
      </w:r>
      <w:proofErr w:type="spellEnd"/>
      <w:r w:rsidRPr="000E4647">
        <w:rPr>
          <w:szCs w:val="20"/>
        </w:rPr>
        <w:t xml:space="preserve"> Autos c. Conseil régional de la Réunion et Direction régionale des douanes de la Réunion, aff. jtes C-363/93, C-407/93, C-408/93, C-409/93, C-410/93 et C-411/93, pt. 37, ECLI:EU:C:1994:315.</w:t>
      </w:r>
    </w:p>
  </w:footnote>
  <w:footnote w:id="56">
    <w:p w14:paraId="004AEE66" w14:textId="1CFB98DE" w:rsidR="00835DD6" w:rsidRPr="000E4647" w:rsidRDefault="00835DD6">
      <w:pPr>
        <w:pStyle w:val="Notedebasdepage"/>
        <w:rPr>
          <w:szCs w:val="20"/>
        </w:rPr>
      </w:pPr>
      <w:r w:rsidRPr="000E4647">
        <w:rPr>
          <w:rStyle w:val="Marquenotebasdepage"/>
          <w:szCs w:val="20"/>
        </w:rPr>
        <w:footnoteRef/>
      </w:r>
      <w:r w:rsidRPr="000E4647">
        <w:rPr>
          <w:szCs w:val="20"/>
        </w:rPr>
        <w:t xml:space="preserve"> V. D. Perrot</w:t>
      </w:r>
      <w:r w:rsidRPr="000E4647">
        <w:rPr>
          <w:bCs/>
          <w:szCs w:val="20"/>
        </w:rPr>
        <w:t xml:space="preserve">, </w:t>
      </w:r>
      <w:r w:rsidRPr="00C631C0">
        <w:rPr>
          <w:bCs/>
          <w:i/>
          <w:szCs w:val="20"/>
        </w:rPr>
        <w:t>Rev. UE</w:t>
      </w:r>
      <w:r w:rsidRPr="000E4647">
        <w:rPr>
          <w:bCs/>
          <w:szCs w:val="20"/>
        </w:rPr>
        <w:t xml:space="preserve">, 2017, n° 613, </w:t>
      </w:r>
      <w:r w:rsidRPr="000E4647">
        <w:rPr>
          <w:bCs/>
          <w:i/>
          <w:szCs w:val="20"/>
        </w:rPr>
        <w:t>op. cit.,</w:t>
      </w:r>
      <w:r w:rsidRPr="000E4647">
        <w:rPr>
          <w:bCs/>
          <w:szCs w:val="20"/>
        </w:rPr>
        <w:t xml:space="preserve"> p. 642.</w:t>
      </w:r>
    </w:p>
  </w:footnote>
  <w:footnote w:id="57">
    <w:p w14:paraId="4FC8FA20" w14:textId="2A9EE2D1" w:rsidR="00835DD6" w:rsidRPr="000E4647" w:rsidRDefault="00835DD6" w:rsidP="00B80A9C">
      <w:pPr>
        <w:pStyle w:val="Notedebasdepage"/>
        <w:rPr>
          <w:szCs w:val="20"/>
          <w:lang w:val="x-none"/>
        </w:rPr>
      </w:pPr>
      <w:r w:rsidRPr="000E4647">
        <w:rPr>
          <w:rStyle w:val="Marquenotebasdepage"/>
          <w:szCs w:val="20"/>
        </w:rPr>
        <w:footnoteRef/>
      </w:r>
      <w:r w:rsidRPr="000E4647">
        <w:rPr>
          <w:szCs w:val="20"/>
        </w:rPr>
        <w:t xml:space="preserve"> En général la prise en compte positive de la spécificité remonte à 1989 avec le programme POSEIDOM, en ce sens : G. </w:t>
      </w:r>
      <w:proofErr w:type="spellStart"/>
      <w:r w:rsidRPr="000E4647">
        <w:rPr>
          <w:szCs w:val="20"/>
        </w:rPr>
        <w:t>Ciavarini</w:t>
      </w:r>
      <w:proofErr w:type="spellEnd"/>
      <w:r w:rsidRPr="000E4647">
        <w:rPr>
          <w:szCs w:val="20"/>
        </w:rPr>
        <w:t xml:space="preserve"> Azzi, « L</w:t>
      </w:r>
      <w:r>
        <w:rPr>
          <w:szCs w:val="20"/>
        </w:rPr>
        <w:t>’</w:t>
      </w:r>
      <w:r w:rsidRPr="000E4647">
        <w:rPr>
          <w:szCs w:val="20"/>
        </w:rPr>
        <w:t xml:space="preserve">Union européenne et ses régions ultrapériphériques », </w:t>
      </w:r>
      <w:r w:rsidRPr="000E4647">
        <w:rPr>
          <w:i/>
          <w:szCs w:val="20"/>
          <w:lang w:val="x-none"/>
        </w:rPr>
        <w:t>in</w:t>
      </w:r>
      <w:r w:rsidRPr="000E4647">
        <w:rPr>
          <w:szCs w:val="20"/>
          <w:lang w:val="x-none"/>
        </w:rPr>
        <w:t xml:space="preserve"> M. Elfort, J.-Y. Faberon et alii</w:t>
      </w:r>
      <w:r w:rsidRPr="000E4647">
        <w:rPr>
          <w:i/>
          <w:szCs w:val="20"/>
          <w:lang w:val="x-none"/>
        </w:rPr>
        <w:t xml:space="preserve">. </w:t>
      </w:r>
      <w:r w:rsidRPr="000E4647">
        <w:rPr>
          <w:szCs w:val="20"/>
          <w:lang w:val="x-none"/>
        </w:rPr>
        <w:t xml:space="preserve">(dir.), </w:t>
      </w:r>
      <w:r w:rsidRPr="000E4647">
        <w:rPr>
          <w:i/>
          <w:szCs w:val="20"/>
          <w:lang w:val="x-none"/>
        </w:rPr>
        <w:t>La Loi d</w:t>
      </w:r>
      <w:r>
        <w:rPr>
          <w:i/>
          <w:szCs w:val="20"/>
          <w:lang w:val="x-none"/>
        </w:rPr>
        <w:t>’</w:t>
      </w:r>
      <w:r w:rsidRPr="000E4647">
        <w:rPr>
          <w:i/>
          <w:szCs w:val="20"/>
          <w:lang w:val="x-none"/>
        </w:rPr>
        <w:t>orientation pour l</w:t>
      </w:r>
      <w:r>
        <w:rPr>
          <w:i/>
          <w:szCs w:val="20"/>
          <w:lang w:val="x-none"/>
        </w:rPr>
        <w:t>’</w:t>
      </w:r>
      <w:r w:rsidRPr="000E4647">
        <w:rPr>
          <w:i/>
          <w:szCs w:val="20"/>
          <w:lang w:val="x-none"/>
        </w:rPr>
        <w:t>outre-mer du 13 décembre 2000. Quelles singularités dans la France et l</w:t>
      </w:r>
      <w:r>
        <w:rPr>
          <w:i/>
          <w:szCs w:val="20"/>
          <w:lang w:val="x-none"/>
        </w:rPr>
        <w:t>’</w:t>
      </w:r>
      <w:r w:rsidRPr="000E4647">
        <w:rPr>
          <w:i/>
          <w:szCs w:val="20"/>
          <w:lang w:val="x-none"/>
        </w:rPr>
        <w:t>Europe ?</w:t>
      </w:r>
      <w:r w:rsidRPr="000E4647">
        <w:rPr>
          <w:szCs w:val="20"/>
          <w:lang w:val="x-none"/>
        </w:rPr>
        <w:t xml:space="preserve"> </w:t>
      </w:r>
      <w:r>
        <w:rPr>
          <w:szCs w:val="20"/>
          <w:lang w:val="x-none"/>
        </w:rPr>
        <w:t xml:space="preserve">Aix-Marseille, </w:t>
      </w:r>
      <w:r w:rsidRPr="000E4647">
        <w:rPr>
          <w:szCs w:val="20"/>
          <w:lang w:val="x-none"/>
        </w:rPr>
        <w:t>PUAM, 2001, p. 551</w:t>
      </w:r>
      <w:r w:rsidRPr="000E4647">
        <w:rPr>
          <w:szCs w:val="20"/>
        </w:rPr>
        <w:t>.</w:t>
      </w:r>
    </w:p>
  </w:footnote>
  <w:footnote w:id="58">
    <w:p w14:paraId="429CC70F" w14:textId="1C27E8E6" w:rsidR="00835DD6" w:rsidRPr="000E4647" w:rsidRDefault="00835DD6" w:rsidP="00EC244F">
      <w:pPr>
        <w:pStyle w:val="Notedebasdepage"/>
        <w:rPr>
          <w:bCs/>
          <w:szCs w:val="20"/>
        </w:rPr>
      </w:pPr>
      <w:r w:rsidRPr="000E4647">
        <w:rPr>
          <w:rStyle w:val="Marquenotebasdepage"/>
          <w:szCs w:val="20"/>
        </w:rPr>
        <w:footnoteRef/>
      </w:r>
      <w:r w:rsidRPr="000E4647">
        <w:rPr>
          <w:szCs w:val="20"/>
        </w:rPr>
        <w:t xml:space="preserve"> </w:t>
      </w:r>
      <w:r w:rsidRPr="000E4647">
        <w:rPr>
          <w:bCs/>
          <w:szCs w:val="20"/>
        </w:rPr>
        <w:t>Directive 81/527/CEE du Conseil</w:t>
      </w:r>
      <w:r w:rsidRPr="000E4647">
        <w:rPr>
          <w:rFonts w:eastAsia="Times New Roman"/>
          <w:bCs/>
          <w:color w:val="444444"/>
          <w:szCs w:val="20"/>
          <w:bdr w:val="none" w:sz="0" w:space="0" w:color="auto" w:frame="1"/>
        </w:rPr>
        <w:t>, JOCE L 197, 20 juillet 1981, p. 38. Nous soulignons.</w:t>
      </w:r>
    </w:p>
  </w:footnote>
  <w:footnote w:id="59">
    <w:p w14:paraId="5D50E898" w14:textId="6B47F15E" w:rsidR="00835DD6" w:rsidRPr="000E4647" w:rsidRDefault="00835DD6" w:rsidP="00F62BF6">
      <w:pPr>
        <w:pStyle w:val="Notedebasdepage"/>
        <w:rPr>
          <w:szCs w:val="20"/>
        </w:rPr>
      </w:pPr>
      <w:r w:rsidRPr="000E4647">
        <w:rPr>
          <w:rStyle w:val="Marquenotebasdepage"/>
          <w:szCs w:val="20"/>
        </w:rPr>
        <w:footnoteRef/>
      </w:r>
      <w:r w:rsidRPr="000E4647">
        <w:rPr>
          <w:szCs w:val="20"/>
        </w:rPr>
        <w:t xml:space="preserve"> Règlements (CEE) n° 3300/86 et n° 3301/86 du 27 octobre 1986, JOCE L 305, 31 octobre 1986, p. 1 et 6.</w:t>
      </w:r>
    </w:p>
  </w:footnote>
  <w:footnote w:id="60">
    <w:p w14:paraId="4121B817" w14:textId="59F3847C" w:rsidR="00835DD6" w:rsidRPr="000E4647" w:rsidRDefault="00835DD6">
      <w:pPr>
        <w:pStyle w:val="Notedebasdepage"/>
        <w:rPr>
          <w:szCs w:val="20"/>
        </w:rPr>
      </w:pPr>
      <w:r w:rsidRPr="000E4647">
        <w:rPr>
          <w:rStyle w:val="Marquenotebasdepage"/>
          <w:szCs w:val="20"/>
        </w:rPr>
        <w:footnoteRef/>
      </w:r>
      <w:r w:rsidRPr="000E4647">
        <w:rPr>
          <w:szCs w:val="20"/>
        </w:rPr>
        <w:t xml:space="preserve"> Décision 89/687/CEE du Conseil du 22 décembre 1989, JOCE</w:t>
      </w:r>
      <w:r w:rsidRPr="000E4647">
        <w:rPr>
          <w:i/>
          <w:szCs w:val="20"/>
        </w:rPr>
        <w:t xml:space="preserve"> </w:t>
      </w:r>
      <w:r w:rsidRPr="000E4647">
        <w:rPr>
          <w:szCs w:val="20"/>
        </w:rPr>
        <w:t>L 399, 31 décembre 1989</w:t>
      </w:r>
      <w:r w:rsidRPr="000E4647">
        <w:rPr>
          <w:i/>
          <w:szCs w:val="20"/>
        </w:rPr>
        <w:t xml:space="preserve">, </w:t>
      </w:r>
      <w:r w:rsidRPr="000E4647">
        <w:rPr>
          <w:szCs w:val="20"/>
        </w:rPr>
        <w:t>p. 39.</w:t>
      </w:r>
    </w:p>
  </w:footnote>
  <w:footnote w:id="61">
    <w:p w14:paraId="35A9C7A4" w14:textId="6C2A1E6F" w:rsidR="00835DD6" w:rsidRPr="000E4647" w:rsidRDefault="00835DD6" w:rsidP="00A11AB5">
      <w:pPr>
        <w:pStyle w:val="Notedebasdepage"/>
        <w:rPr>
          <w:szCs w:val="20"/>
        </w:rPr>
      </w:pPr>
      <w:r w:rsidRPr="000E4647">
        <w:rPr>
          <w:rStyle w:val="Marquenotebasdepage"/>
          <w:szCs w:val="20"/>
        </w:rPr>
        <w:footnoteRef/>
      </w:r>
      <w:r w:rsidRPr="000E4647">
        <w:rPr>
          <w:szCs w:val="20"/>
        </w:rPr>
        <w:t xml:space="preserve"> Décision 89/688/CEE du Conseil du 22 décembre 1989 relative au régime de l</w:t>
      </w:r>
      <w:r>
        <w:rPr>
          <w:szCs w:val="20"/>
        </w:rPr>
        <w:t>’</w:t>
      </w:r>
      <w:r w:rsidRPr="000E4647">
        <w:rPr>
          <w:szCs w:val="20"/>
        </w:rPr>
        <w:t>octroi de mer dans les départements français d</w:t>
      </w:r>
      <w:r>
        <w:rPr>
          <w:szCs w:val="20"/>
        </w:rPr>
        <w:t>’</w:t>
      </w:r>
      <w:r w:rsidRPr="000E4647">
        <w:rPr>
          <w:szCs w:val="20"/>
        </w:rPr>
        <w:t>outre-mer, JOCE L 399, 31 décembre 1989, p. 46.</w:t>
      </w:r>
      <w:r w:rsidRPr="000E4647">
        <w:rPr>
          <w:rStyle w:val="Marquenotebasdepage"/>
          <w:szCs w:val="20"/>
        </w:rPr>
        <w:t xml:space="preserve"> </w:t>
      </w:r>
      <w:r w:rsidRPr="000E4647">
        <w:rPr>
          <w:szCs w:val="20"/>
        </w:rPr>
        <w:t xml:space="preserve">V. F. T. Rakotondrahaso, « Octroi de mer et départementalisation », in D. Blanc et F. Cafarelli, </w:t>
      </w:r>
      <w:r w:rsidRPr="000E4647">
        <w:rPr>
          <w:i/>
          <w:szCs w:val="20"/>
        </w:rPr>
        <w:t>op. cit.,</w:t>
      </w:r>
      <w:r w:rsidRPr="000E4647">
        <w:rPr>
          <w:szCs w:val="20"/>
        </w:rPr>
        <w:t xml:space="preserve"> p. 189.</w:t>
      </w:r>
    </w:p>
  </w:footnote>
  <w:footnote w:id="62">
    <w:p w14:paraId="17D9E98A" w14:textId="4181BC4A" w:rsidR="00835DD6" w:rsidRPr="000E4647" w:rsidRDefault="00835DD6" w:rsidP="00A11AB5">
      <w:pPr>
        <w:pStyle w:val="Notedebasdepage"/>
        <w:rPr>
          <w:szCs w:val="20"/>
        </w:rPr>
      </w:pPr>
      <w:r w:rsidRPr="000E4647">
        <w:rPr>
          <w:rStyle w:val="Marquenotebasdepage"/>
          <w:szCs w:val="20"/>
        </w:rPr>
        <w:footnoteRef/>
      </w:r>
      <w:r w:rsidRPr="000E4647">
        <w:rPr>
          <w:szCs w:val="20"/>
        </w:rPr>
        <w:t xml:space="preserve"> </w:t>
      </w:r>
      <w:r w:rsidRPr="000E4647">
        <w:rPr>
          <w:bCs/>
          <w:szCs w:val="20"/>
        </w:rPr>
        <w:t>Décision 940/2014/UE du Conseil du 17 décembre 2014,</w:t>
      </w:r>
      <w:r w:rsidRPr="000E4647">
        <w:rPr>
          <w:iCs/>
          <w:szCs w:val="20"/>
        </w:rPr>
        <w:t xml:space="preserve"> JOUE L 367, 23 décembre 2014, p. 1.</w:t>
      </w:r>
      <w:r w:rsidRPr="000E4647">
        <w:rPr>
          <w:szCs w:val="20"/>
        </w:rPr>
        <w:t xml:space="preserve"> </w:t>
      </w:r>
      <w:r w:rsidRPr="000E4647">
        <w:rPr>
          <w:iCs/>
          <w:szCs w:val="20"/>
        </w:rPr>
        <w:t>La loi n°2015-762 du 29 juin 2015 relative à l</w:t>
      </w:r>
      <w:r>
        <w:rPr>
          <w:iCs/>
          <w:szCs w:val="20"/>
        </w:rPr>
        <w:t>’</w:t>
      </w:r>
      <w:r w:rsidRPr="000E4647">
        <w:rPr>
          <w:iCs/>
          <w:szCs w:val="20"/>
        </w:rPr>
        <w:t>octroi de mer adapte cette décision en droit interne</w:t>
      </w:r>
      <w:r w:rsidRPr="000E4647">
        <w:rPr>
          <w:szCs w:val="20"/>
        </w:rPr>
        <w:t>, JORF, 30 juin 2015, p. 10979.</w:t>
      </w:r>
    </w:p>
  </w:footnote>
  <w:footnote w:id="63">
    <w:p w14:paraId="67E50365" w14:textId="77DB2CED" w:rsidR="00835DD6" w:rsidRPr="000E4647" w:rsidRDefault="00835DD6" w:rsidP="00B02E56">
      <w:pPr>
        <w:pStyle w:val="Notedebasdepage"/>
        <w:rPr>
          <w:szCs w:val="20"/>
        </w:rPr>
      </w:pPr>
      <w:r w:rsidRPr="000E4647">
        <w:rPr>
          <w:rStyle w:val="Marquenotebasdepage"/>
          <w:szCs w:val="20"/>
        </w:rPr>
        <w:footnoteRef/>
      </w:r>
      <w:r w:rsidRPr="000E4647">
        <w:rPr>
          <w:szCs w:val="20"/>
        </w:rPr>
        <w:t xml:space="preserve"> V. L. Lebon, « L</w:t>
      </w:r>
      <w:r>
        <w:rPr>
          <w:szCs w:val="20"/>
        </w:rPr>
        <w:t>’</w:t>
      </w:r>
      <w:r w:rsidRPr="000E4647">
        <w:rPr>
          <w:szCs w:val="20"/>
        </w:rPr>
        <w:t>économie générale de l</w:t>
      </w:r>
      <w:r>
        <w:rPr>
          <w:szCs w:val="20"/>
        </w:rPr>
        <w:t>’</w:t>
      </w:r>
      <w:r w:rsidRPr="000E4647">
        <w:rPr>
          <w:szCs w:val="20"/>
        </w:rPr>
        <w:t xml:space="preserve">application territoriale du traité de Rome », </w:t>
      </w:r>
      <w:r w:rsidRPr="000E4647">
        <w:rPr>
          <w:i/>
          <w:szCs w:val="20"/>
        </w:rPr>
        <w:t>Rev. UE</w:t>
      </w:r>
      <w:r w:rsidRPr="000E4647">
        <w:rPr>
          <w:szCs w:val="20"/>
        </w:rPr>
        <w:t>, 2017, n°613, p. 631 et s.</w:t>
      </w:r>
    </w:p>
  </w:footnote>
  <w:footnote w:id="64">
    <w:p w14:paraId="058EECDD" w14:textId="1F84D21E" w:rsidR="00835DD6" w:rsidRPr="000E4647" w:rsidRDefault="00835DD6" w:rsidP="00B61C82">
      <w:pPr>
        <w:pStyle w:val="Notedebasdepage"/>
        <w:rPr>
          <w:szCs w:val="20"/>
        </w:rPr>
      </w:pPr>
      <w:r w:rsidRPr="000E4647">
        <w:rPr>
          <w:rStyle w:val="Marquenotebasdepage"/>
          <w:szCs w:val="20"/>
        </w:rPr>
        <w:footnoteRef/>
      </w:r>
      <w:r w:rsidRPr="000E4647">
        <w:rPr>
          <w:szCs w:val="20"/>
        </w:rPr>
        <w:t xml:space="preserve"> Décision 91/314/CEE du Conseil du 26 juin 1991, JOCE L 171, 29 juin 1991, p. 5.</w:t>
      </w:r>
    </w:p>
  </w:footnote>
  <w:footnote w:id="65">
    <w:p w14:paraId="65E1F078" w14:textId="3FD231FA" w:rsidR="00835DD6" w:rsidRPr="000E4647" w:rsidRDefault="00835DD6" w:rsidP="00D45778">
      <w:pPr>
        <w:pStyle w:val="Notedebasdepage"/>
        <w:rPr>
          <w:szCs w:val="20"/>
        </w:rPr>
      </w:pPr>
      <w:r w:rsidRPr="000E4647">
        <w:rPr>
          <w:rStyle w:val="Marquenotebasdepage"/>
          <w:szCs w:val="20"/>
        </w:rPr>
        <w:footnoteRef/>
      </w:r>
      <w:r w:rsidRPr="000E4647">
        <w:rPr>
          <w:szCs w:val="20"/>
        </w:rPr>
        <w:t xml:space="preserve"> Décision 91/315/CEE du Conseil 26 juin 1991, </w:t>
      </w:r>
      <w:r w:rsidRPr="000E4647">
        <w:rPr>
          <w:i/>
          <w:szCs w:val="20"/>
        </w:rPr>
        <w:t>idem</w:t>
      </w:r>
      <w:r w:rsidRPr="000E4647">
        <w:rPr>
          <w:szCs w:val="20"/>
        </w:rPr>
        <w:t>, p. 10.</w:t>
      </w:r>
    </w:p>
  </w:footnote>
  <w:footnote w:id="66">
    <w:p w14:paraId="09C693BD" w14:textId="7E433B7C" w:rsidR="00835DD6" w:rsidRPr="000E4647" w:rsidRDefault="00835DD6" w:rsidP="003104A5">
      <w:pPr>
        <w:pStyle w:val="Notedebasdepage"/>
        <w:rPr>
          <w:szCs w:val="20"/>
        </w:rPr>
      </w:pPr>
      <w:r w:rsidRPr="000E4647">
        <w:rPr>
          <w:rStyle w:val="Marquenotebasdepage"/>
          <w:szCs w:val="20"/>
        </w:rPr>
        <w:footnoteRef/>
      </w:r>
      <w:r w:rsidRPr="000E4647">
        <w:rPr>
          <w:szCs w:val="20"/>
        </w:rPr>
        <w:t xml:space="preserve"> V. </w:t>
      </w:r>
      <w:r w:rsidRPr="000E4647">
        <w:rPr>
          <w:bCs/>
          <w:szCs w:val="20"/>
        </w:rPr>
        <w:t>Rapport de la Commission au Parlement européen et au Conseil sur la mise en œuvre du régime de mesures spécifiques dans l</w:t>
      </w:r>
      <w:r>
        <w:rPr>
          <w:bCs/>
          <w:szCs w:val="20"/>
        </w:rPr>
        <w:t>’</w:t>
      </w:r>
      <w:r w:rsidRPr="000E4647">
        <w:rPr>
          <w:bCs/>
          <w:szCs w:val="20"/>
        </w:rPr>
        <w:t>agriculture en faveur des régions ultrapériphériques de l</w:t>
      </w:r>
      <w:r>
        <w:rPr>
          <w:bCs/>
          <w:szCs w:val="20"/>
        </w:rPr>
        <w:t>’</w:t>
      </w:r>
      <w:r w:rsidRPr="000E4647">
        <w:rPr>
          <w:bCs/>
          <w:szCs w:val="20"/>
        </w:rPr>
        <w:t>Union (POSEI)</w:t>
      </w:r>
      <w:r w:rsidRPr="000E4647">
        <w:rPr>
          <w:szCs w:val="20"/>
        </w:rPr>
        <w:t>, COM(2017) 797 final, 15 décembre 2016 et COM(2017) 623 final, précité p. 8.</w:t>
      </w:r>
    </w:p>
  </w:footnote>
  <w:footnote w:id="67">
    <w:p w14:paraId="1A2FCC7F" w14:textId="24D1725B" w:rsidR="00835DD6" w:rsidRPr="000E4647" w:rsidRDefault="00835DD6">
      <w:pPr>
        <w:pStyle w:val="Notedebasdepage"/>
        <w:rPr>
          <w:szCs w:val="20"/>
        </w:rPr>
      </w:pPr>
      <w:r w:rsidRPr="000E4647">
        <w:rPr>
          <w:rStyle w:val="Marquenotebasdepage"/>
          <w:szCs w:val="20"/>
        </w:rPr>
        <w:footnoteRef/>
      </w:r>
      <w:r w:rsidRPr="000E4647">
        <w:rPr>
          <w:szCs w:val="20"/>
        </w:rPr>
        <w:t xml:space="preserve"> La paternité de l</w:t>
      </w:r>
      <w:r>
        <w:rPr>
          <w:szCs w:val="20"/>
        </w:rPr>
        <w:t>’</w:t>
      </w:r>
      <w:r w:rsidRPr="000E4647">
        <w:rPr>
          <w:szCs w:val="20"/>
        </w:rPr>
        <w:t>expression revient en général à M. Mota Amaral, président de la région autonome des Açores de 1976 à 1995. Sur l</w:t>
      </w:r>
      <w:r>
        <w:rPr>
          <w:szCs w:val="20"/>
        </w:rPr>
        <w:t>’</w:t>
      </w:r>
      <w:r w:rsidRPr="000E4647">
        <w:rPr>
          <w:szCs w:val="20"/>
        </w:rPr>
        <w:t>origine de la notion : P. Guillaumin, « La dimension ultrapériphérique de l</w:t>
      </w:r>
      <w:r>
        <w:rPr>
          <w:szCs w:val="20"/>
        </w:rPr>
        <w:t>’</w:t>
      </w:r>
      <w:r w:rsidRPr="000E4647">
        <w:rPr>
          <w:szCs w:val="20"/>
        </w:rPr>
        <w:t xml:space="preserve">Union </w:t>
      </w:r>
      <w:r w:rsidRPr="000E4647">
        <w:rPr>
          <w:bCs/>
          <w:iCs/>
          <w:szCs w:val="20"/>
        </w:rPr>
        <w:t>européenn</w:t>
      </w:r>
      <w:r w:rsidRPr="000E4647">
        <w:rPr>
          <w:szCs w:val="20"/>
        </w:rPr>
        <w:t xml:space="preserve">e », in J.-D. Hache (dir.), </w:t>
      </w:r>
      <w:r w:rsidRPr="000E4647">
        <w:rPr>
          <w:bCs/>
          <w:i/>
          <w:szCs w:val="20"/>
        </w:rPr>
        <w:t>Quel</w:t>
      </w:r>
      <w:r w:rsidRPr="000E4647">
        <w:rPr>
          <w:bCs/>
          <w:i/>
          <w:iCs/>
          <w:szCs w:val="20"/>
        </w:rPr>
        <w:t xml:space="preserve"> </w:t>
      </w:r>
      <w:r w:rsidRPr="000E4647">
        <w:rPr>
          <w:i/>
          <w:iCs/>
          <w:szCs w:val="20"/>
        </w:rPr>
        <w:t xml:space="preserve">statut pour les </w:t>
      </w:r>
      <w:r w:rsidRPr="000E4647">
        <w:rPr>
          <w:bCs/>
          <w:i/>
          <w:szCs w:val="20"/>
        </w:rPr>
        <w:t>îles d</w:t>
      </w:r>
      <w:r>
        <w:rPr>
          <w:bCs/>
          <w:i/>
          <w:szCs w:val="20"/>
        </w:rPr>
        <w:t>’</w:t>
      </w:r>
      <w:r w:rsidRPr="000E4647">
        <w:rPr>
          <w:bCs/>
          <w:i/>
          <w:szCs w:val="20"/>
        </w:rPr>
        <w:t>Europe</w:t>
      </w:r>
      <w:r w:rsidRPr="000E4647">
        <w:rPr>
          <w:i/>
          <w:iCs/>
          <w:szCs w:val="20"/>
        </w:rPr>
        <w:t xml:space="preserve"> ?</w:t>
      </w:r>
      <w:r w:rsidRPr="000E4647">
        <w:rPr>
          <w:szCs w:val="20"/>
        </w:rPr>
        <w:t>, Paris, L</w:t>
      </w:r>
      <w:r>
        <w:rPr>
          <w:szCs w:val="20"/>
        </w:rPr>
        <w:t>’</w:t>
      </w:r>
      <w:r w:rsidRPr="000E4647">
        <w:rPr>
          <w:szCs w:val="20"/>
        </w:rPr>
        <w:t>Harmattan, 2000, p. 106.</w:t>
      </w:r>
    </w:p>
  </w:footnote>
  <w:footnote w:id="68">
    <w:p w14:paraId="5047566C" w14:textId="763260FF" w:rsidR="00835DD6" w:rsidRPr="000E4647" w:rsidRDefault="00835DD6" w:rsidP="00DA491E">
      <w:pPr>
        <w:pStyle w:val="Notedebasdepage"/>
        <w:tabs>
          <w:tab w:val="left" w:pos="702"/>
        </w:tabs>
        <w:rPr>
          <w:szCs w:val="20"/>
        </w:rPr>
      </w:pPr>
      <w:r w:rsidRPr="000E4647">
        <w:rPr>
          <w:rStyle w:val="Marquenotebasdepage"/>
          <w:szCs w:val="20"/>
        </w:rPr>
        <w:footnoteRef/>
      </w:r>
      <w:r w:rsidRPr="000E4647">
        <w:rPr>
          <w:szCs w:val="20"/>
        </w:rPr>
        <w:t xml:space="preserve"> Communication C(90) 1562/1 aux États membres fixant les orientations pour les programmes opérationnels dans le cadre d</w:t>
      </w:r>
      <w:r>
        <w:rPr>
          <w:szCs w:val="20"/>
        </w:rPr>
        <w:t>’</w:t>
      </w:r>
      <w:r w:rsidRPr="000E4647">
        <w:rPr>
          <w:szCs w:val="20"/>
        </w:rPr>
        <w:t>une initiative communautaire concernant les régions ultrapériphériques que les États membres sont invités à établir, JOCE C 196, 4 août 1990, p. 15.</w:t>
      </w:r>
    </w:p>
  </w:footnote>
  <w:footnote w:id="69">
    <w:p w14:paraId="4348B49B" w14:textId="358908F0" w:rsidR="00835DD6" w:rsidRPr="000E4647" w:rsidRDefault="00835DD6" w:rsidP="00D45B8F">
      <w:pPr>
        <w:pStyle w:val="Notedebasdepage"/>
        <w:rPr>
          <w:szCs w:val="20"/>
        </w:rPr>
      </w:pPr>
      <w:r w:rsidRPr="000E4647">
        <w:rPr>
          <w:rStyle w:val="Marquenotebasdepage"/>
          <w:szCs w:val="20"/>
        </w:rPr>
        <w:footnoteRef/>
      </w:r>
      <w:r w:rsidRPr="000E4647">
        <w:rPr>
          <w:szCs w:val="20"/>
        </w:rPr>
        <w:t xml:space="preserve"> Texte reproduit in E. Jos et D. Perrot, </w:t>
      </w:r>
      <w:r w:rsidRPr="000E4647">
        <w:rPr>
          <w:i/>
          <w:szCs w:val="20"/>
        </w:rPr>
        <w:t>Les départements d</w:t>
      </w:r>
      <w:r>
        <w:rPr>
          <w:i/>
          <w:szCs w:val="20"/>
        </w:rPr>
        <w:t>’</w:t>
      </w:r>
      <w:r w:rsidRPr="000E4647">
        <w:rPr>
          <w:i/>
          <w:szCs w:val="20"/>
        </w:rPr>
        <w:t>outre-mer et le droit de l</w:t>
      </w:r>
      <w:r>
        <w:rPr>
          <w:i/>
          <w:szCs w:val="20"/>
        </w:rPr>
        <w:t>’</w:t>
      </w:r>
      <w:r w:rsidRPr="000E4647">
        <w:rPr>
          <w:i/>
          <w:szCs w:val="20"/>
        </w:rPr>
        <w:t>Union européenne</w:t>
      </w:r>
      <w:r w:rsidRPr="000E4647">
        <w:rPr>
          <w:szCs w:val="20"/>
        </w:rPr>
        <w:t>, Travaux de la CEDECE. Série textes et documents, Paris, La documentation française, 2000, p. 20.</w:t>
      </w:r>
    </w:p>
  </w:footnote>
  <w:footnote w:id="70">
    <w:p w14:paraId="46CD1990" w14:textId="66C7F208" w:rsidR="00835DD6" w:rsidRPr="000E4647" w:rsidRDefault="00835DD6">
      <w:pPr>
        <w:pStyle w:val="Notedebasdepage"/>
        <w:rPr>
          <w:szCs w:val="20"/>
        </w:rPr>
      </w:pPr>
      <w:r w:rsidRPr="000E4647">
        <w:rPr>
          <w:rStyle w:val="Marquenotebasdepage"/>
          <w:szCs w:val="20"/>
        </w:rPr>
        <w:footnoteRef/>
      </w:r>
      <w:r w:rsidRPr="000E4647">
        <w:rPr>
          <w:szCs w:val="20"/>
        </w:rPr>
        <w:t xml:space="preserve"> Devenu article 355 § 1 TFUE.</w:t>
      </w:r>
    </w:p>
  </w:footnote>
  <w:footnote w:id="71">
    <w:p w14:paraId="134AB46E" w14:textId="297456B6" w:rsidR="00835DD6" w:rsidRPr="000E4647" w:rsidRDefault="00835DD6">
      <w:pPr>
        <w:pStyle w:val="Notedebasdepage"/>
        <w:rPr>
          <w:szCs w:val="20"/>
        </w:rPr>
      </w:pPr>
      <w:r w:rsidRPr="000E4647">
        <w:rPr>
          <w:rStyle w:val="Marquenotebasdepage"/>
          <w:szCs w:val="20"/>
        </w:rPr>
        <w:footnoteRef/>
      </w:r>
      <w:r w:rsidRPr="000E4647">
        <w:rPr>
          <w:szCs w:val="20"/>
        </w:rPr>
        <w:t xml:space="preserve"> V. D. Perrot, « Intégrité et cohérence de l</w:t>
      </w:r>
      <w:r>
        <w:rPr>
          <w:szCs w:val="20"/>
        </w:rPr>
        <w:t>’</w:t>
      </w:r>
      <w:r w:rsidRPr="000E4647">
        <w:rPr>
          <w:szCs w:val="20"/>
        </w:rPr>
        <w:t xml:space="preserve">ordre juridique communautaire », in </w:t>
      </w:r>
      <w:r w:rsidRPr="000E4647">
        <w:rPr>
          <w:i/>
          <w:szCs w:val="20"/>
        </w:rPr>
        <w:t>Le droit de l</w:t>
      </w:r>
      <w:r>
        <w:rPr>
          <w:i/>
          <w:szCs w:val="20"/>
        </w:rPr>
        <w:t>’</w:t>
      </w:r>
      <w:r w:rsidRPr="000E4647">
        <w:rPr>
          <w:i/>
          <w:szCs w:val="20"/>
        </w:rPr>
        <w:t>Union européenne en principes</w:t>
      </w:r>
      <w:r w:rsidRPr="000E4647">
        <w:rPr>
          <w:szCs w:val="20"/>
        </w:rPr>
        <w:t xml:space="preserve">, </w:t>
      </w:r>
      <w:r w:rsidRPr="000E4647">
        <w:rPr>
          <w:i/>
          <w:szCs w:val="20"/>
        </w:rPr>
        <w:t xml:space="preserve">Liber </w:t>
      </w:r>
      <w:proofErr w:type="spellStart"/>
      <w:r w:rsidRPr="000E4647">
        <w:rPr>
          <w:i/>
          <w:szCs w:val="20"/>
        </w:rPr>
        <w:t>amicorum</w:t>
      </w:r>
      <w:proofErr w:type="spellEnd"/>
      <w:r w:rsidRPr="000E4647">
        <w:rPr>
          <w:i/>
          <w:szCs w:val="20"/>
        </w:rPr>
        <w:t xml:space="preserve"> en l</w:t>
      </w:r>
      <w:r>
        <w:rPr>
          <w:i/>
          <w:szCs w:val="20"/>
        </w:rPr>
        <w:t>’</w:t>
      </w:r>
      <w:r w:rsidRPr="000E4647">
        <w:rPr>
          <w:i/>
          <w:szCs w:val="20"/>
        </w:rPr>
        <w:t xml:space="preserve">honneur de Jean </w:t>
      </w:r>
      <w:proofErr w:type="spellStart"/>
      <w:r w:rsidRPr="000E4647">
        <w:rPr>
          <w:i/>
          <w:szCs w:val="20"/>
        </w:rPr>
        <w:t>Raux</w:t>
      </w:r>
      <w:proofErr w:type="spellEnd"/>
      <w:r w:rsidRPr="000E4647">
        <w:rPr>
          <w:szCs w:val="20"/>
        </w:rPr>
        <w:t>, Rennes, Éditions Apogée, 2006, p. 617.</w:t>
      </w:r>
    </w:p>
  </w:footnote>
  <w:footnote w:id="72">
    <w:p w14:paraId="7406E03A" w14:textId="4593469F" w:rsidR="00835DD6" w:rsidRPr="000E4647" w:rsidRDefault="00835DD6" w:rsidP="008F7550">
      <w:pPr>
        <w:pStyle w:val="Notedebasdepage"/>
        <w:rPr>
          <w:b/>
          <w:bCs/>
          <w:szCs w:val="20"/>
        </w:rPr>
      </w:pPr>
      <w:r w:rsidRPr="000E4647">
        <w:rPr>
          <w:rStyle w:val="Marquenotebasdepage"/>
          <w:szCs w:val="20"/>
        </w:rPr>
        <w:footnoteRef/>
      </w:r>
      <w:r w:rsidRPr="000E4647">
        <w:rPr>
          <w:szCs w:val="20"/>
        </w:rPr>
        <w:t xml:space="preserve"> </w:t>
      </w:r>
      <w:bookmarkStart w:id="3" w:name="http://eur-lex.europa.eu/legal-content/A"/>
      <w:r w:rsidRPr="000E4647">
        <w:rPr>
          <w:szCs w:val="20"/>
        </w:rPr>
        <w:t>R</w:t>
      </w:r>
      <w:r w:rsidRPr="000E4647">
        <w:rPr>
          <w:bCs/>
          <w:szCs w:val="20"/>
        </w:rPr>
        <w:t>apport de la Commission sur les mesures destinées à mettre en oeuvre l</w:t>
      </w:r>
      <w:r>
        <w:rPr>
          <w:bCs/>
          <w:szCs w:val="20"/>
        </w:rPr>
        <w:t>’</w:t>
      </w:r>
      <w:r w:rsidRPr="000E4647">
        <w:rPr>
          <w:bCs/>
          <w:szCs w:val="20"/>
        </w:rPr>
        <w:t>article 299 § 2 - les régions ultrapériphériques de l</w:t>
      </w:r>
      <w:r>
        <w:rPr>
          <w:bCs/>
          <w:szCs w:val="20"/>
        </w:rPr>
        <w:t>’</w:t>
      </w:r>
      <w:r w:rsidRPr="000E4647">
        <w:rPr>
          <w:bCs/>
          <w:szCs w:val="20"/>
        </w:rPr>
        <w:t>Union européenne</w:t>
      </w:r>
      <w:bookmarkEnd w:id="3"/>
      <w:r w:rsidRPr="000E4647">
        <w:rPr>
          <w:bCs/>
          <w:szCs w:val="20"/>
        </w:rPr>
        <w:t>,</w:t>
      </w:r>
      <w:r w:rsidRPr="000E4647">
        <w:rPr>
          <w:szCs w:val="20"/>
        </w:rPr>
        <w:t xml:space="preserve"> COM(2000) 147 final, p. 33.</w:t>
      </w:r>
    </w:p>
  </w:footnote>
  <w:footnote w:id="73">
    <w:p w14:paraId="39B0B0C6" w14:textId="17A87E6A" w:rsidR="00835DD6" w:rsidRPr="000E4647" w:rsidRDefault="00835DD6" w:rsidP="006D0BAC">
      <w:pPr>
        <w:pStyle w:val="Notedebasdepage"/>
        <w:rPr>
          <w:szCs w:val="20"/>
        </w:rPr>
      </w:pPr>
      <w:r w:rsidRPr="000E4647">
        <w:rPr>
          <w:rStyle w:val="Marquenotebasdepage"/>
          <w:szCs w:val="20"/>
        </w:rPr>
        <w:footnoteRef/>
      </w:r>
      <w:r w:rsidRPr="000E4647">
        <w:rPr>
          <w:szCs w:val="20"/>
        </w:rPr>
        <w:t xml:space="preserve"> D. Custos, JCP Europe, fasc. 471, </w:t>
      </w:r>
      <w:r w:rsidRPr="000E4647">
        <w:rPr>
          <w:i/>
          <w:szCs w:val="20"/>
        </w:rPr>
        <w:t>op. cit</w:t>
      </w:r>
      <w:r w:rsidRPr="000E4647">
        <w:rPr>
          <w:szCs w:val="20"/>
        </w:rPr>
        <w:t>., pt. 32.</w:t>
      </w:r>
    </w:p>
  </w:footnote>
  <w:footnote w:id="74">
    <w:p w14:paraId="480AB47E" w14:textId="5D86DA70" w:rsidR="00835DD6" w:rsidRPr="000E4647" w:rsidRDefault="00835DD6">
      <w:pPr>
        <w:pStyle w:val="Notedebasdepage"/>
        <w:rPr>
          <w:szCs w:val="20"/>
        </w:rPr>
      </w:pPr>
      <w:r w:rsidRPr="000E4647">
        <w:rPr>
          <w:rStyle w:val="Marquenotebasdepage"/>
          <w:szCs w:val="20"/>
        </w:rPr>
        <w:footnoteRef/>
      </w:r>
      <w:r w:rsidRPr="000E4647">
        <w:rPr>
          <w:szCs w:val="20"/>
        </w:rPr>
        <w:t xml:space="preserve"> « Les mesures visées au premier alinéa portent notamment sur les politiques douanières et commerciales, la politique fiscale, les zones franches, les politiques dans les domaines de l</w:t>
      </w:r>
      <w:r>
        <w:rPr>
          <w:szCs w:val="20"/>
        </w:rPr>
        <w:t>’</w:t>
      </w:r>
      <w:r w:rsidRPr="000E4647">
        <w:rPr>
          <w:szCs w:val="20"/>
        </w:rPr>
        <w:t>agriculture et de la pêche, les conditions d</w:t>
      </w:r>
      <w:r>
        <w:rPr>
          <w:szCs w:val="20"/>
        </w:rPr>
        <w:t>’</w:t>
      </w:r>
      <w:r w:rsidRPr="000E4647">
        <w:rPr>
          <w:szCs w:val="20"/>
        </w:rPr>
        <w:t>approvisionnement en matières premières et en biens de consommation de première nécessité, les aides d</w:t>
      </w:r>
      <w:r>
        <w:rPr>
          <w:szCs w:val="20"/>
        </w:rPr>
        <w:t>’</w:t>
      </w:r>
      <w:r w:rsidRPr="000E4647">
        <w:rPr>
          <w:szCs w:val="20"/>
        </w:rPr>
        <w:t>État, et les conditions d</w:t>
      </w:r>
      <w:r>
        <w:rPr>
          <w:szCs w:val="20"/>
        </w:rPr>
        <w:t>’</w:t>
      </w:r>
      <w:r w:rsidRPr="000E4647">
        <w:rPr>
          <w:szCs w:val="20"/>
        </w:rPr>
        <w:t>accès aux fonds structurels et aux programmes horizontaux de l</w:t>
      </w:r>
      <w:r>
        <w:rPr>
          <w:szCs w:val="20"/>
        </w:rPr>
        <w:t>’</w:t>
      </w:r>
      <w:r w:rsidRPr="000E4647">
        <w:rPr>
          <w:szCs w:val="20"/>
        </w:rPr>
        <w:t>Union ».</w:t>
      </w:r>
    </w:p>
  </w:footnote>
  <w:footnote w:id="75">
    <w:p w14:paraId="431EE8F2" w14:textId="7E1B7260" w:rsidR="00835DD6" w:rsidRPr="000E4647" w:rsidRDefault="00835DD6">
      <w:pPr>
        <w:pStyle w:val="Notedebasdepage"/>
        <w:rPr>
          <w:szCs w:val="20"/>
        </w:rPr>
      </w:pPr>
      <w:r w:rsidRPr="000E4647">
        <w:rPr>
          <w:rStyle w:val="Marquenotebasdepage"/>
          <w:szCs w:val="20"/>
        </w:rPr>
        <w:footnoteRef/>
      </w:r>
      <w:r w:rsidRPr="000E4647">
        <w:rPr>
          <w:szCs w:val="20"/>
        </w:rPr>
        <w:t xml:space="preserve"> </w:t>
      </w:r>
      <w:r w:rsidRPr="000E4647">
        <w:rPr>
          <w:bCs/>
          <w:szCs w:val="20"/>
        </w:rPr>
        <w:t xml:space="preserve">Question écrite P-1691/01 posée par </w:t>
      </w:r>
      <w:proofErr w:type="spellStart"/>
      <w:r w:rsidRPr="000E4647">
        <w:rPr>
          <w:bCs/>
          <w:szCs w:val="20"/>
        </w:rPr>
        <w:t>Sérgio</w:t>
      </w:r>
      <w:proofErr w:type="spellEnd"/>
      <w:r w:rsidRPr="000E4647">
        <w:rPr>
          <w:bCs/>
          <w:szCs w:val="20"/>
        </w:rPr>
        <w:t xml:space="preserve"> Marques (PPE-DE) à la Commission. JOCE, </w:t>
      </w:r>
      <w:r w:rsidRPr="000E4647">
        <w:rPr>
          <w:iCs/>
          <w:szCs w:val="20"/>
        </w:rPr>
        <w:t>n° 81 E, 4 avril 2002, pp. 52-53. Nous soulignons.</w:t>
      </w:r>
    </w:p>
  </w:footnote>
  <w:footnote w:id="76">
    <w:p w14:paraId="22F53637" w14:textId="6720595A" w:rsidR="00835DD6" w:rsidRPr="000E4647" w:rsidRDefault="00835DD6">
      <w:pPr>
        <w:pStyle w:val="Notedebasdepage"/>
        <w:rPr>
          <w:szCs w:val="20"/>
        </w:rPr>
      </w:pPr>
      <w:r w:rsidRPr="000E4647">
        <w:rPr>
          <w:rStyle w:val="Marquenotebasdepage"/>
          <w:szCs w:val="20"/>
        </w:rPr>
        <w:footnoteRef/>
      </w:r>
      <w:r w:rsidRPr="000E4647">
        <w:rPr>
          <w:szCs w:val="20"/>
        </w:rPr>
        <w:t xml:space="preserve"> V. B. Peter, « La base juridique des actes communautaires », </w:t>
      </w:r>
      <w:r w:rsidRPr="000E4647">
        <w:rPr>
          <w:i/>
          <w:szCs w:val="20"/>
        </w:rPr>
        <w:t>RMCUE</w:t>
      </w:r>
      <w:r w:rsidRPr="000E4647">
        <w:rPr>
          <w:szCs w:val="20"/>
        </w:rPr>
        <w:t>, 1994, n°378, pp. 324-325.</w:t>
      </w:r>
    </w:p>
  </w:footnote>
  <w:footnote w:id="77">
    <w:p w14:paraId="7E3EFEBD" w14:textId="57578203" w:rsidR="00835DD6" w:rsidRPr="000E4647" w:rsidRDefault="00835DD6">
      <w:pPr>
        <w:pStyle w:val="Notedebasdepage"/>
        <w:rPr>
          <w:szCs w:val="20"/>
        </w:rPr>
      </w:pPr>
      <w:r w:rsidRPr="000E4647">
        <w:rPr>
          <w:rStyle w:val="Marquenotebasdepage"/>
          <w:szCs w:val="20"/>
        </w:rPr>
        <w:footnoteRef/>
      </w:r>
      <w:r w:rsidRPr="000E4647">
        <w:rPr>
          <w:szCs w:val="20"/>
        </w:rPr>
        <w:t xml:space="preserve"> </w:t>
      </w:r>
      <w:r w:rsidRPr="000E4647">
        <w:rPr>
          <w:bCs/>
          <w:szCs w:val="20"/>
        </w:rPr>
        <w:t>Règlement (CE) n° 1453/2001 du Conseil du 28 juin 2001 portant mesures spécifiques concernant certains produits agricoles en faveur des Açores et de Madère</w:t>
      </w:r>
      <w:r w:rsidRPr="000E4647">
        <w:rPr>
          <w:szCs w:val="20"/>
        </w:rPr>
        <w:t xml:space="preserve">, </w:t>
      </w:r>
      <w:r w:rsidRPr="000E4647">
        <w:rPr>
          <w:iCs/>
          <w:szCs w:val="20"/>
        </w:rPr>
        <w:t>JOCE L 198, 21 juillet 2001, p. 26.</w:t>
      </w:r>
    </w:p>
  </w:footnote>
  <w:footnote w:id="78">
    <w:p w14:paraId="03797F71" w14:textId="7E3A16EB" w:rsidR="00835DD6" w:rsidRPr="000E4647" w:rsidRDefault="00835DD6" w:rsidP="007774EC">
      <w:pPr>
        <w:pStyle w:val="Notedebasdepage"/>
        <w:rPr>
          <w:szCs w:val="20"/>
          <w:lang w:val="en-US"/>
        </w:rPr>
      </w:pPr>
      <w:r w:rsidRPr="000E4647">
        <w:rPr>
          <w:rStyle w:val="Marquenotebasdepage"/>
          <w:szCs w:val="20"/>
        </w:rPr>
        <w:footnoteRef/>
      </w:r>
      <w:r w:rsidRPr="000E4647">
        <w:rPr>
          <w:szCs w:val="20"/>
          <w:lang w:val="en-US"/>
        </w:rPr>
        <w:t xml:space="preserve"> N. Rubio, </w:t>
      </w:r>
      <w:r w:rsidRPr="009F24A0">
        <w:rPr>
          <w:szCs w:val="20"/>
        </w:rPr>
        <w:t>« Les régions ultrapériphériques de l</w:t>
      </w:r>
      <w:r>
        <w:rPr>
          <w:szCs w:val="20"/>
        </w:rPr>
        <w:t>’</w:t>
      </w:r>
      <w:r w:rsidRPr="009F24A0">
        <w:rPr>
          <w:szCs w:val="20"/>
        </w:rPr>
        <w:t>Union européenne », in</w:t>
      </w:r>
      <w:r w:rsidRPr="009F24A0">
        <w:rPr>
          <w:i/>
          <w:szCs w:val="20"/>
        </w:rPr>
        <w:t xml:space="preserve"> </w:t>
      </w:r>
      <w:r w:rsidRPr="009F24A0">
        <w:rPr>
          <w:szCs w:val="20"/>
        </w:rPr>
        <w:t>Tesoka L. </w:t>
      </w:r>
      <w:proofErr w:type="gramStart"/>
      <w:r w:rsidRPr="009F24A0">
        <w:rPr>
          <w:szCs w:val="20"/>
        </w:rPr>
        <w:t>et</w:t>
      </w:r>
      <w:proofErr w:type="gramEnd"/>
      <w:r w:rsidRPr="009F24A0">
        <w:rPr>
          <w:szCs w:val="20"/>
        </w:rPr>
        <w:t xml:space="preserve"> Ziller J. (dir.),</w:t>
      </w:r>
      <w:r>
        <w:rPr>
          <w:szCs w:val="20"/>
        </w:rPr>
        <w:t xml:space="preserve"> </w:t>
      </w:r>
      <w:r w:rsidRPr="000E4647">
        <w:rPr>
          <w:i/>
          <w:szCs w:val="20"/>
          <w:lang w:val="en-US"/>
        </w:rPr>
        <w:t>op. cit.,</w:t>
      </w:r>
      <w:r w:rsidRPr="000E4647">
        <w:rPr>
          <w:szCs w:val="20"/>
          <w:lang w:val="en-US"/>
        </w:rPr>
        <w:t xml:space="preserve"> p. 133.</w:t>
      </w:r>
    </w:p>
  </w:footnote>
  <w:footnote w:id="79">
    <w:p w14:paraId="70644ADD" w14:textId="0C7ED095" w:rsidR="00835DD6" w:rsidRPr="000E4647" w:rsidRDefault="00835DD6" w:rsidP="006F4F64">
      <w:pPr>
        <w:pStyle w:val="Notedebasdepage"/>
        <w:rPr>
          <w:szCs w:val="20"/>
        </w:rPr>
      </w:pPr>
      <w:r w:rsidRPr="000E4647">
        <w:rPr>
          <w:rStyle w:val="Marquenotebasdepage"/>
          <w:szCs w:val="20"/>
        </w:rPr>
        <w:footnoteRef/>
      </w:r>
      <w:r w:rsidRPr="000E4647">
        <w:rPr>
          <w:szCs w:val="20"/>
        </w:rPr>
        <w:t xml:space="preserve"> V. D. Blanc « Le Parlement européen législateur », in M. Blanquet (dir.),</w:t>
      </w:r>
      <w:r w:rsidRPr="000E4647">
        <w:rPr>
          <w:i/>
          <w:iCs/>
          <w:szCs w:val="20"/>
        </w:rPr>
        <w:t xml:space="preserve"> La prise de décision dans le système de l</w:t>
      </w:r>
      <w:r>
        <w:rPr>
          <w:i/>
          <w:iCs/>
          <w:szCs w:val="20"/>
        </w:rPr>
        <w:t>’</w:t>
      </w:r>
      <w:r w:rsidRPr="000E4647">
        <w:rPr>
          <w:i/>
          <w:iCs/>
          <w:szCs w:val="20"/>
        </w:rPr>
        <w:t>Union européenne</w:t>
      </w:r>
      <w:r w:rsidRPr="000E4647">
        <w:rPr>
          <w:szCs w:val="20"/>
        </w:rPr>
        <w:t>, Bruxelles, Bruylant, 2011, p. 91 et s.</w:t>
      </w:r>
    </w:p>
  </w:footnote>
  <w:footnote w:id="80">
    <w:p w14:paraId="01EDFF7B" w14:textId="48E8066A" w:rsidR="00835DD6" w:rsidRPr="000E4647" w:rsidRDefault="00835DD6">
      <w:pPr>
        <w:pStyle w:val="Notedebasdepage"/>
        <w:rPr>
          <w:szCs w:val="20"/>
        </w:rPr>
      </w:pPr>
      <w:r w:rsidRPr="000E4647">
        <w:rPr>
          <w:rStyle w:val="Marquenotebasdepage"/>
          <w:szCs w:val="20"/>
        </w:rPr>
        <w:footnoteRef/>
      </w:r>
      <w:r w:rsidRPr="000E4647">
        <w:rPr>
          <w:szCs w:val="20"/>
        </w:rPr>
        <w:t xml:space="preserve"> V. Rapport Letchimy, précité p. 17.</w:t>
      </w:r>
    </w:p>
  </w:footnote>
  <w:footnote w:id="81">
    <w:p w14:paraId="76A37D43" w14:textId="72789068" w:rsidR="00835DD6" w:rsidRPr="000E4647" w:rsidRDefault="00835DD6">
      <w:pPr>
        <w:pStyle w:val="Notedebasdepage"/>
        <w:rPr>
          <w:szCs w:val="20"/>
          <w:lang w:eastAsia="en-US"/>
        </w:rPr>
      </w:pPr>
      <w:r w:rsidRPr="000E4647">
        <w:rPr>
          <w:rStyle w:val="Marquenotebasdepage"/>
          <w:szCs w:val="20"/>
        </w:rPr>
        <w:footnoteRef/>
      </w:r>
      <w:r w:rsidRPr="000E4647">
        <w:rPr>
          <w:szCs w:val="20"/>
          <w:lang w:eastAsia="en-US"/>
        </w:rPr>
        <w:t xml:space="preserve"> V</w:t>
      </w:r>
      <w:r w:rsidRPr="000E4647">
        <w:rPr>
          <w:bCs/>
          <w:szCs w:val="20"/>
        </w:rPr>
        <w:t>. conclusions de l</w:t>
      </w:r>
      <w:r>
        <w:rPr>
          <w:bCs/>
          <w:szCs w:val="20"/>
        </w:rPr>
        <w:t>’</w:t>
      </w:r>
      <w:r w:rsidRPr="000E4647">
        <w:rPr>
          <w:bCs/>
          <w:szCs w:val="20"/>
        </w:rPr>
        <w:t>avocat général N. Wahl sous l</w:t>
      </w:r>
      <w:r>
        <w:rPr>
          <w:bCs/>
          <w:szCs w:val="20"/>
        </w:rPr>
        <w:t>’</w:t>
      </w:r>
      <w:r w:rsidRPr="000E4647">
        <w:rPr>
          <w:bCs/>
          <w:szCs w:val="20"/>
        </w:rPr>
        <w:t xml:space="preserve">arrêt CJUE (gde ch.), 15 déc. 2015, Parlement européen et Commission européenne c. Conseil, aff. C-132/14 à C-136/14, ECLI:EU:C:2015:425, </w:t>
      </w:r>
      <w:r w:rsidRPr="000E4647">
        <w:rPr>
          <w:bCs/>
          <w:iCs/>
          <w:szCs w:val="20"/>
        </w:rPr>
        <w:t>pt. 52.</w:t>
      </w:r>
    </w:p>
  </w:footnote>
  <w:footnote w:id="82">
    <w:p w14:paraId="2287119C" w14:textId="068BFC36" w:rsidR="00835DD6" w:rsidRPr="000E4647" w:rsidRDefault="00835DD6" w:rsidP="000C3D8A">
      <w:pPr>
        <w:rPr>
          <w:rFonts w:eastAsia="Times New Roman"/>
          <w:sz w:val="20"/>
          <w:szCs w:val="20"/>
        </w:rPr>
      </w:pPr>
      <w:r w:rsidRPr="000E4647">
        <w:rPr>
          <w:rStyle w:val="Marquenotebasdepage"/>
          <w:sz w:val="20"/>
          <w:szCs w:val="20"/>
        </w:rPr>
        <w:footnoteRef/>
      </w:r>
      <w:r w:rsidRPr="000E4647">
        <w:rPr>
          <w:sz w:val="20"/>
          <w:szCs w:val="20"/>
        </w:rPr>
        <w:t xml:space="preserve"> CJUE, gde ch., 15 déc. 2015, Parlement et Commission c/ Conseil, soutenu par Espagne, France et Portugal, aff. jtes C-132/14 à C-136/14, </w:t>
      </w:r>
      <w:r w:rsidRPr="000E4647">
        <w:rPr>
          <w:rStyle w:val="outputecliaff"/>
          <w:rFonts w:eastAsia="Times New Roman"/>
          <w:sz w:val="20"/>
          <w:szCs w:val="20"/>
        </w:rPr>
        <w:t xml:space="preserve">ECLI:EU:C:2015:813. </w:t>
      </w:r>
      <w:r w:rsidRPr="000E4647">
        <w:rPr>
          <w:rFonts w:eastAsia="Times New Roman"/>
          <w:sz w:val="20"/>
          <w:szCs w:val="20"/>
        </w:rPr>
        <w:t xml:space="preserve">Obs. D. Simon, </w:t>
      </w:r>
      <w:r w:rsidRPr="000E4647">
        <w:rPr>
          <w:rFonts w:eastAsia="Times New Roman"/>
          <w:i/>
          <w:sz w:val="20"/>
          <w:szCs w:val="20"/>
        </w:rPr>
        <w:t>Europe</w:t>
      </w:r>
      <w:r w:rsidRPr="000E4647">
        <w:rPr>
          <w:rFonts w:eastAsia="Times New Roman"/>
          <w:sz w:val="20"/>
          <w:szCs w:val="20"/>
        </w:rPr>
        <w:t>, 2016, Comm. 39, pp. 14-15 ; D. Perrot, « La première interprétation de l</w:t>
      </w:r>
      <w:r>
        <w:rPr>
          <w:rFonts w:eastAsia="Times New Roman"/>
          <w:sz w:val="20"/>
          <w:szCs w:val="20"/>
        </w:rPr>
        <w:t>’</w:t>
      </w:r>
      <w:r w:rsidRPr="000E4647">
        <w:rPr>
          <w:rFonts w:eastAsia="Times New Roman"/>
          <w:sz w:val="20"/>
          <w:szCs w:val="20"/>
        </w:rPr>
        <w:t xml:space="preserve">article 349 TFUE par la CJUE », </w:t>
      </w:r>
      <w:r w:rsidRPr="000E4647">
        <w:rPr>
          <w:rFonts w:eastAsia="Times New Roman"/>
          <w:i/>
          <w:sz w:val="20"/>
          <w:szCs w:val="20"/>
        </w:rPr>
        <w:t>Rev. UE</w:t>
      </w:r>
      <w:r w:rsidRPr="000E4647">
        <w:rPr>
          <w:rFonts w:eastAsia="Times New Roman"/>
          <w:sz w:val="20"/>
          <w:szCs w:val="20"/>
        </w:rPr>
        <w:t>, 2017, n° 604, p. 40</w:t>
      </w:r>
      <w:r>
        <w:rPr>
          <w:rFonts w:eastAsia="Times New Roman"/>
          <w:sz w:val="20"/>
          <w:szCs w:val="20"/>
        </w:rPr>
        <w:t xml:space="preserve"> et s</w:t>
      </w:r>
      <w:r w:rsidRPr="000E4647">
        <w:rPr>
          <w:rFonts w:eastAsia="Times New Roman"/>
          <w:sz w:val="20"/>
          <w:szCs w:val="20"/>
        </w:rPr>
        <w:t xml:space="preserve">. V. également H. Pongérard-Payet, </w:t>
      </w:r>
      <w:r w:rsidRPr="000E4647">
        <w:rPr>
          <w:rFonts w:eastAsia="Times New Roman"/>
          <w:i/>
          <w:sz w:val="20"/>
          <w:szCs w:val="20"/>
        </w:rPr>
        <w:t>op cit</w:t>
      </w:r>
      <w:r w:rsidRPr="000E4647">
        <w:rPr>
          <w:rFonts w:eastAsia="Times New Roman"/>
          <w:sz w:val="20"/>
          <w:szCs w:val="20"/>
        </w:rPr>
        <w:t>., p. 215 et s.</w:t>
      </w:r>
    </w:p>
  </w:footnote>
  <w:footnote w:id="83">
    <w:p w14:paraId="170BF0B0" w14:textId="2BB137FF" w:rsidR="00835DD6" w:rsidRPr="000E4647" w:rsidRDefault="00835DD6">
      <w:pPr>
        <w:pStyle w:val="Notedebasdepage"/>
        <w:rPr>
          <w:szCs w:val="20"/>
        </w:rPr>
      </w:pPr>
      <w:r w:rsidRPr="000E4647">
        <w:rPr>
          <w:rStyle w:val="Marquenotebasdepage"/>
          <w:szCs w:val="20"/>
        </w:rPr>
        <w:footnoteRef/>
      </w:r>
      <w:r w:rsidRPr="000E4647">
        <w:rPr>
          <w:szCs w:val="20"/>
        </w:rPr>
        <w:t xml:space="preserve"> Rapport Letchimy précité p. 8.</w:t>
      </w:r>
    </w:p>
  </w:footnote>
  <w:footnote w:id="84">
    <w:p w14:paraId="4539863C" w14:textId="0781733B" w:rsidR="00835DD6" w:rsidRPr="000E4647" w:rsidRDefault="00835DD6">
      <w:pPr>
        <w:pStyle w:val="Notedebasdepage"/>
        <w:rPr>
          <w:szCs w:val="20"/>
        </w:rPr>
      </w:pPr>
      <w:r w:rsidRPr="000E4647">
        <w:rPr>
          <w:rStyle w:val="Marquenotebasdepage"/>
          <w:szCs w:val="20"/>
        </w:rPr>
        <w:footnoteRef/>
      </w:r>
      <w:r w:rsidRPr="000E4647">
        <w:rPr>
          <w:szCs w:val="20"/>
        </w:rPr>
        <w:t xml:space="preserve"> </w:t>
      </w:r>
      <w:r>
        <w:rPr>
          <w:szCs w:val="20"/>
        </w:rPr>
        <w:t>En règle générale,</w:t>
      </w:r>
      <w:r w:rsidRPr="000E4647">
        <w:rPr>
          <w:szCs w:val="20"/>
        </w:rPr>
        <w:t xml:space="preserve"> la Cour de justice ne fait pas de la référence au « traité » le siège d</w:t>
      </w:r>
      <w:r>
        <w:rPr>
          <w:szCs w:val="20"/>
        </w:rPr>
        <w:t>’</w:t>
      </w:r>
      <w:r w:rsidRPr="000E4647">
        <w:rPr>
          <w:szCs w:val="20"/>
        </w:rPr>
        <w:t>une distinction entre droit primaire et droit dérivé.</w:t>
      </w:r>
    </w:p>
  </w:footnote>
  <w:footnote w:id="85">
    <w:p w14:paraId="0B3C7F46" w14:textId="6ACF295F" w:rsidR="00835DD6" w:rsidRPr="000E4647" w:rsidRDefault="00835DD6">
      <w:pPr>
        <w:pStyle w:val="Notedebasdepage"/>
        <w:rPr>
          <w:szCs w:val="20"/>
        </w:rPr>
      </w:pPr>
      <w:r w:rsidRPr="000E4647">
        <w:rPr>
          <w:rStyle w:val="Marquenotebasdepage"/>
          <w:szCs w:val="20"/>
        </w:rPr>
        <w:footnoteRef/>
      </w:r>
      <w:r>
        <w:rPr>
          <w:szCs w:val="20"/>
        </w:rPr>
        <w:t xml:space="preserve"> Pt. 72 de l’arrêt d</w:t>
      </w:r>
      <w:r w:rsidRPr="000E4647">
        <w:rPr>
          <w:szCs w:val="20"/>
        </w:rPr>
        <w:t>u 15 déc. 2015.</w:t>
      </w:r>
    </w:p>
  </w:footnote>
  <w:footnote w:id="86">
    <w:p w14:paraId="08B6F31E" w14:textId="60BF3F3C" w:rsidR="00835DD6" w:rsidRPr="000E4647" w:rsidRDefault="00835DD6">
      <w:pPr>
        <w:pStyle w:val="Notedebasdepage"/>
        <w:rPr>
          <w:szCs w:val="20"/>
        </w:rPr>
      </w:pPr>
      <w:r w:rsidRPr="000E4647">
        <w:rPr>
          <w:rStyle w:val="Marquenotebasdepage"/>
          <w:szCs w:val="20"/>
        </w:rPr>
        <w:footnoteRef/>
      </w:r>
      <w:r w:rsidRPr="000E4647">
        <w:rPr>
          <w:szCs w:val="20"/>
        </w:rPr>
        <w:t xml:space="preserve"> Pt. 69 de l</w:t>
      </w:r>
      <w:r>
        <w:rPr>
          <w:szCs w:val="20"/>
        </w:rPr>
        <w:t>’</w:t>
      </w:r>
      <w:r w:rsidRPr="000E4647">
        <w:rPr>
          <w:szCs w:val="20"/>
        </w:rPr>
        <w:t>arrêt.</w:t>
      </w:r>
    </w:p>
  </w:footnote>
  <w:footnote w:id="87">
    <w:p w14:paraId="7BCAD633" w14:textId="586D739A" w:rsidR="00835DD6" w:rsidRPr="000E4647" w:rsidRDefault="00835DD6">
      <w:pPr>
        <w:pStyle w:val="Notedebasdepage"/>
        <w:rPr>
          <w:szCs w:val="20"/>
        </w:rPr>
      </w:pPr>
      <w:r w:rsidRPr="000E4647">
        <w:rPr>
          <w:rStyle w:val="Marquenotebasdepage"/>
          <w:szCs w:val="20"/>
        </w:rPr>
        <w:footnoteRef/>
      </w:r>
      <w:r w:rsidRPr="000E4647">
        <w:rPr>
          <w:szCs w:val="20"/>
        </w:rPr>
        <w:t xml:space="preserve"> Pts. 97 et s. de l</w:t>
      </w:r>
      <w:r>
        <w:rPr>
          <w:szCs w:val="20"/>
        </w:rPr>
        <w:t>’</w:t>
      </w:r>
      <w:r w:rsidRPr="000E4647">
        <w:rPr>
          <w:szCs w:val="20"/>
        </w:rPr>
        <w:t>arrêt.</w:t>
      </w:r>
    </w:p>
  </w:footnote>
  <w:footnote w:id="88">
    <w:p w14:paraId="5E01035A" w14:textId="4955567B" w:rsidR="00835DD6" w:rsidRPr="000E4647" w:rsidRDefault="00835DD6" w:rsidP="00121814">
      <w:pPr>
        <w:pStyle w:val="Notedebasdepage"/>
        <w:rPr>
          <w:b/>
          <w:bCs/>
          <w:szCs w:val="20"/>
        </w:rPr>
      </w:pPr>
      <w:r w:rsidRPr="000E4647">
        <w:rPr>
          <w:rStyle w:val="Marquenotebasdepage"/>
          <w:szCs w:val="20"/>
        </w:rPr>
        <w:footnoteRef/>
      </w:r>
      <w:r w:rsidRPr="000E4647">
        <w:rPr>
          <w:szCs w:val="20"/>
        </w:rPr>
        <w:t xml:space="preserve"> D. </w:t>
      </w:r>
      <w:r w:rsidRPr="000E4647">
        <w:rPr>
          <w:bCs/>
          <w:szCs w:val="20"/>
        </w:rPr>
        <w:t xml:space="preserve">Perrot, « Les Régions ultrapériphériques françaises selon le Traité de Lisbonne », </w:t>
      </w:r>
      <w:r w:rsidRPr="000E4647">
        <w:rPr>
          <w:bCs/>
          <w:i/>
          <w:szCs w:val="20"/>
        </w:rPr>
        <w:t>RTDE</w:t>
      </w:r>
      <w:r w:rsidRPr="000E4647">
        <w:rPr>
          <w:bCs/>
          <w:szCs w:val="20"/>
        </w:rPr>
        <w:t>, 2009, n° 4, p. 732.</w:t>
      </w:r>
    </w:p>
  </w:footnote>
  <w:footnote w:id="89">
    <w:p w14:paraId="498D2A1E" w14:textId="56A3A486" w:rsidR="00835DD6" w:rsidRPr="000E4647" w:rsidRDefault="00835DD6">
      <w:pPr>
        <w:pStyle w:val="Notedebasdepage"/>
        <w:rPr>
          <w:szCs w:val="20"/>
        </w:rPr>
      </w:pPr>
      <w:r w:rsidRPr="000E4647">
        <w:rPr>
          <w:rStyle w:val="Marquenotebasdepage"/>
          <w:szCs w:val="20"/>
        </w:rPr>
        <w:footnoteRef/>
      </w:r>
      <w:r w:rsidRPr="000E4647">
        <w:rPr>
          <w:szCs w:val="20"/>
        </w:rPr>
        <w:t xml:space="preserve"> Pour une présentation synthétique des options doctrinales : conclusions de l</w:t>
      </w:r>
      <w:r>
        <w:rPr>
          <w:szCs w:val="20"/>
        </w:rPr>
        <w:t>’</w:t>
      </w:r>
      <w:r w:rsidRPr="000E4647">
        <w:rPr>
          <w:szCs w:val="20"/>
        </w:rPr>
        <w:t>avocat général (note XXX)</w:t>
      </w:r>
    </w:p>
  </w:footnote>
  <w:footnote w:id="90">
    <w:p w14:paraId="73A30943" w14:textId="0F36D4BF" w:rsidR="00835DD6" w:rsidRPr="000E4647" w:rsidRDefault="00835DD6" w:rsidP="00AA7ECD">
      <w:pPr>
        <w:pStyle w:val="Notedebasdepage"/>
        <w:rPr>
          <w:szCs w:val="20"/>
        </w:rPr>
      </w:pPr>
      <w:r w:rsidRPr="000E4647">
        <w:rPr>
          <w:rStyle w:val="Marquenotebasdepage"/>
          <w:szCs w:val="20"/>
        </w:rPr>
        <w:footnoteRef/>
      </w:r>
      <w:r w:rsidRPr="000E4647">
        <w:rPr>
          <w:szCs w:val="20"/>
        </w:rPr>
        <w:t xml:space="preserve"> V. D. Blanc « Le Parlement européen législateur », in M. Blanquet (dir.),</w:t>
      </w:r>
      <w:r w:rsidRPr="000E4647">
        <w:rPr>
          <w:i/>
          <w:iCs/>
          <w:szCs w:val="20"/>
        </w:rPr>
        <w:t xml:space="preserve"> La prise de décision dans le système de l</w:t>
      </w:r>
      <w:r>
        <w:rPr>
          <w:i/>
          <w:iCs/>
          <w:szCs w:val="20"/>
        </w:rPr>
        <w:t>’</w:t>
      </w:r>
      <w:r w:rsidRPr="000E4647">
        <w:rPr>
          <w:i/>
          <w:iCs/>
          <w:szCs w:val="20"/>
        </w:rPr>
        <w:t>Union européenne</w:t>
      </w:r>
      <w:r w:rsidRPr="000E4647">
        <w:rPr>
          <w:szCs w:val="20"/>
        </w:rPr>
        <w:t>, Bruxelles, Bruylant, 2011, p. 91 et s.</w:t>
      </w:r>
    </w:p>
  </w:footnote>
  <w:footnote w:id="91">
    <w:p w14:paraId="7F3916C6" w14:textId="50591089" w:rsidR="00835DD6" w:rsidRPr="000E4647" w:rsidRDefault="00835DD6">
      <w:pPr>
        <w:pStyle w:val="Notedebasdepage"/>
        <w:rPr>
          <w:szCs w:val="20"/>
        </w:rPr>
      </w:pPr>
      <w:r w:rsidRPr="000E4647">
        <w:rPr>
          <w:rStyle w:val="Marquenotebasdepage"/>
          <w:szCs w:val="20"/>
        </w:rPr>
        <w:footnoteRef/>
      </w:r>
      <w:r w:rsidRPr="000E4647">
        <w:rPr>
          <w:szCs w:val="20"/>
        </w:rPr>
        <w:t xml:space="preserve"> Par exemple l</w:t>
      </w:r>
      <w:r>
        <w:rPr>
          <w:szCs w:val="20"/>
        </w:rPr>
        <w:t>’</w:t>
      </w:r>
      <w:r w:rsidRPr="000E4647">
        <w:rPr>
          <w:szCs w:val="20"/>
        </w:rPr>
        <w:t>article 218 § 6 TFUE retient quant à la conclusion des accords portant sur des matières régies par la procédure législative ordinaire l</w:t>
      </w:r>
      <w:r>
        <w:rPr>
          <w:szCs w:val="20"/>
        </w:rPr>
        <w:t>’</w:t>
      </w:r>
      <w:r w:rsidRPr="000E4647">
        <w:rPr>
          <w:szCs w:val="20"/>
        </w:rPr>
        <w:t>association du Parlement européen sous la forme d</w:t>
      </w:r>
      <w:r>
        <w:rPr>
          <w:szCs w:val="20"/>
        </w:rPr>
        <w:t>’</w:t>
      </w:r>
      <w:r w:rsidRPr="000E4647">
        <w:rPr>
          <w:szCs w:val="20"/>
        </w:rPr>
        <w:t>un pouvoir d</w:t>
      </w:r>
      <w:r>
        <w:rPr>
          <w:szCs w:val="20"/>
        </w:rPr>
        <w:t>’</w:t>
      </w:r>
      <w:r w:rsidRPr="000E4647">
        <w:rPr>
          <w:szCs w:val="20"/>
        </w:rPr>
        <w:t>approbation.</w:t>
      </w:r>
    </w:p>
  </w:footnote>
  <w:footnote w:id="92">
    <w:p w14:paraId="221D5DFA" w14:textId="2589D8FF" w:rsidR="00835DD6" w:rsidRPr="000E4647" w:rsidRDefault="00835DD6">
      <w:pPr>
        <w:pStyle w:val="Notedebasdepage"/>
        <w:rPr>
          <w:szCs w:val="20"/>
        </w:rPr>
      </w:pPr>
      <w:r w:rsidRPr="000E4647">
        <w:rPr>
          <w:rStyle w:val="Marquenotebasdepage"/>
          <w:szCs w:val="20"/>
        </w:rPr>
        <w:footnoteRef/>
      </w:r>
      <w:r w:rsidRPr="000E4647">
        <w:rPr>
          <w:szCs w:val="20"/>
        </w:rPr>
        <w:t xml:space="preserve"> D</w:t>
      </w:r>
      <w:r w:rsidRPr="000E4647">
        <w:rPr>
          <w:rFonts w:eastAsiaTheme="minorEastAsia"/>
          <w:szCs w:val="20"/>
        </w:rPr>
        <w:t>.</w:t>
      </w:r>
      <w:r w:rsidRPr="000E4647">
        <w:rPr>
          <w:szCs w:val="20"/>
        </w:rPr>
        <w:t xml:space="preserve"> Perrot, </w:t>
      </w:r>
      <w:r w:rsidRPr="000E4647">
        <w:rPr>
          <w:i/>
          <w:szCs w:val="20"/>
        </w:rPr>
        <w:t>Rev. UE</w:t>
      </w:r>
      <w:r w:rsidRPr="000E4647">
        <w:rPr>
          <w:szCs w:val="20"/>
        </w:rPr>
        <w:t xml:space="preserve">, 2017, n° 604, </w:t>
      </w:r>
      <w:r w:rsidRPr="000E4647">
        <w:rPr>
          <w:i/>
          <w:szCs w:val="20"/>
        </w:rPr>
        <w:t>op. cit</w:t>
      </w:r>
      <w:r w:rsidRPr="000E4647">
        <w:rPr>
          <w:szCs w:val="20"/>
        </w:rPr>
        <w:t>., pp. 51-52.</w:t>
      </w:r>
    </w:p>
  </w:footnote>
  <w:footnote w:id="93">
    <w:p w14:paraId="5A082A2C" w14:textId="20C6D2E9" w:rsidR="00835DD6" w:rsidRPr="000E4647" w:rsidRDefault="00835DD6">
      <w:pPr>
        <w:pStyle w:val="Notedebasdepage"/>
        <w:rPr>
          <w:szCs w:val="20"/>
        </w:rPr>
      </w:pPr>
      <w:r w:rsidRPr="000E4647">
        <w:rPr>
          <w:rStyle w:val="Marquenotebasdepage"/>
          <w:szCs w:val="20"/>
        </w:rPr>
        <w:footnoteRef/>
      </w:r>
      <w:r w:rsidRPr="000E4647">
        <w:rPr>
          <w:szCs w:val="20"/>
        </w:rPr>
        <w:t xml:space="preserve"> </w:t>
      </w:r>
      <w:bookmarkStart w:id="5" w:name="ABSid392929112240"/>
      <w:bookmarkEnd w:id="5"/>
      <w:r w:rsidRPr="000E4647">
        <w:rPr>
          <w:szCs w:val="20"/>
        </w:rPr>
        <w:t>COM(2017) 297 final, 9 juillet 2017</w:t>
      </w:r>
      <w:bookmarkStart w:id="6" w:name="ABSid392929110160"/>
      <w:bookmarkEnd w:id="6"/>
      <w:r w:rsidRPr="000E4647">
        <w:rPr>
          <w:szCs w:val="20"/>
        </w:rPr>
        <w:t>.</w:t>
      </w:r>
    </w:p>
  </w:footnote>
  <w:footnote w:id="94">
    <w:p w14:paraId="1479675E" w14:textId="16415540" w:rsidR="00835DD6" w:rsidRPr="000E4647" w:rsidRDefault="00835DD6">
      <w:pPr>
        <w:pStyle w:val="Notedebasdepage"/>
        <w:rPr>
          <w:szCs w:val="20"/>
        </w:rPr>
      </w:pPr>
      <w:r w:rsidRPr="000E4647">
        <w:rPr>
          <w:rStyle w:val="Marquenotebasdepage"/>
          <w:szCs w:val="20"/>
        </w:rPr>
        <w:footnoteRef/>
      </w:r>
      <w:r w:rsidRPr="000E4647">
        <w:rPr>
          <w:szCs w:val="20"/>
        </w:rPr>
        <w:t xml:space="preserve"> Décision n° 896/2011/UE du Conseil du 19 décembre 2011 modifiant la décision 2007/659/CE en ce qui concerne sa période d</w:t>
      </w:r>
      <w:r>
        <w:rPr>
          <w:szCs w:val="20"/>
        </w:rPr>
        <w:t>’</w:t>
      </w:r>
      <w:r w:rsidRPr="000E4647">
        <w:rPr>
          <w:szCs w:val="20"/>
        </w:rPr>
        <w:t>application et le contingent annuel pouvant bénéficier d</w:t>
      </w:r>
      <w:r>
        <w:rPr>
          <w:szCs w:val="20"/>
        </w:rPr>
        <w:t>’</w:t>
      </w:r>
      <w:r w:rsidRPr="000E4647">
        <w:rPr>
          <w:szCs w:val="20"/>
        </w:rPr>
        <w:t>un taux d</w:t>
      </w:r>
      <w:r>
        <w:rPr>
          <w:szCs w:val="20"/>
        </w:rPr>
        <w:t>’</w:t>
      </w:r>
      <w:r w:rsidRPr="000E4647">
        <w:rPr>
          <w:szCs w:val="20"/>
        </w:rPr>
        <w:t xml:space="preserve">accise réduit, </w:t>
      </w:r>
      <w:r w:rsidRPr="000E4647">
        <w:rPr>
          <w:iCs/>
          <w:szCs w:val="20"/>
        </w:rPr>
        <w:t>JOUE L 345, 29 décembre 2011, p. 18.</w:t>
      </w:r>
    </w:p>
  </w:footnote>
  <w:footnote w:id="95">
    <w:p w14:paraId="273BDC2C" w14:textId="60645A96" w:rsidR="00835DD6" w:rsidRPr="000E4647" w:rsidRDefault="00835DD6">
      <w:pPr>
        <w:pStyle w:val="Notedebasdepage"/>
        <w:rPr>
          <w:szCs w:val="20"/>
        </w:rPr>
      </w:pPr>
      <w:r w:rsidRPr="000E4647">
        <w:rPr>
          <w:rStyle w:val="Marquenotebasdepage"/>
          <w:szCs w:val="20"/>
        </w:rPr>
        <w:footnoteRef/>
      </w:r>
      <w:r w:rsidRPr="000E4647">
        <w:rPr>
          <w:szCs w:val="20"/>
        </w:rPr>
        <w:t xml:space="preserve"> Proposition de règlement du Parlement Européen et du Conseil relatif aux règles financières applicables au budget général de l</w:t>
      </w:r>
      <w:r>
        <w:rPr>
          <w:szCs w:val="20"/>
        </w:rPr>
        <w:t>’</w:t>
      </w:r>
      <w:r w:rsidRPr="000E4647">
        <w:rPr>
          <w:szCs w:val="20"/>
        </w:rPr>
        <w:t>Union, COM(2016) 605 final, 14 septembre 2016, voir aussi considérant 250.</w:t>
      </w:r>
    </w:p>
  </w:footnote>
  <w:footnote w:id="96">
    <w:p w14:paraId="76B65B79" w14:textId="51BC1FD1" w:rsidR="00835DD6" w:rsidRPr="000E4647" w:rsidRDefault="00835DD6">
      <w:pPr>
        <w:pStyle w:val="Notedebasdepage"/>
        <w:rPr>
          <w:szCs w:val="20"/>
        </w:rPr>
      </w:pPr>
      <w:r w:rsidRPr="000E4647">
        <w:rPr>
          <w:rStyle w:val="Marquenotebasdepage"/>
          <w:szCs w:val="20"/>
        </w:rPr>
        <w:footnoteRef/>
      </w:r>
      <w:r w:rsidRPr="000E4647">
        <w:rPr>
          <w:szCs w:val="20"/>
        </w:rPr>
        <w:t xml:space="preserve"> Proposition de règlement du Parlement européen et du Conseil modifiant la directive 2003/87/CE en vue de maintenir l</w:t>
      </w:r>
      <w:r>
        <w:rPr>
          <w:szCs w:val="20"/>
        </w:rPr>
        <w:t>’</w:t>
      </w:r>
      <w:r w:rsidRPr="000E4647">
        <w:rPr>
          <w:szCs w:val="20"/>
        </w:rPr>
        <w:t>actuelle restriction du champ d</w:t>
      </w:r>
      <w:r>
        <w:rPr>
          <w:szCs w:val="20"/>
        </w:rPr>
        <w:t>’</w:t>
      </w:r>
      <w:r w:rsidRPr="000E4647">
        <w:rPr>
          <w:szCs w:val="20"/>
        </w:rPr>
        <w:t>application pour les activités aériennes et de préparer la mise en œuvre d</w:t>
      </w:r>
      <w:r>
        <w:rPr>
          <w:szCs w:val="20"/>
        </w:rPr>
        <w:t>’</w:t>
      </w:r>
      <w:r w:rsidRPr="000E4647">
        <w:rPr>
          <w:szCs w:val="20"/>
        </w:rPr>
        <w:t>un mécanisme de marché mondial à partir de 2021, COM(2017) 54 final, 3 février 2017.</w:t>
      </w:r>
    </w:p>
  </w:footnote>
  <w:footnote w:id="97">
    <w:p w14:paraId="6C9AD582" w14:textId="662FAA9B" w:rsidR="00835DD6" w:rsidRPr="000E4647" w:rsidRDefault="00835DD6">
      <w:pPr>
        <w:pStyle w:val="Notedebasdepage"/>
        <w:rPr>
          <w:szCs w:val="20"/>
        </w:rPr>
      </w:pPr>
      <w:r w:rsidRPr="000E4647">
        <w:rPr>
          <w:rStyle w:val="Marquenotebasdepage"/>
          <w:szCs w:val="20"/>
        </w:rPr>
        <w:footnoteRef/>
      </w:r>
      <w:r w:rsidRPr="000E4647">
        <w:rPr>
          <w:szCs w:val="20"/>
        </w:rPr>
        <w:t xml:space="preserve"> Un exemple de ce défaut nous est donné par sa p</w:t>
      </w:r>
      <w:r w:rsidRPr="000E4647">
        <w:rPr>
          <w:bCs/>
          <w:szCs w:val="20"/>
        </w:rPr>
        <w:t>roposition de règlement relative à l</w:t>
      </w:r>
      <w:r>
        <w:rPr>
          <w:bCs/>
          <w:szCs w:val="20"/>
        </w:rPr>
        <w:t>’</w:t>
      </w:r>
      <w:r w:rsidRPr="000E4647">
        <w:rPr>
          <w:bCs/>
          <w:szCs w:val="20"/>
        </w:rPr>
        <w:t>accès au marché des services portuaires et la transparence financière des ports vierge de toute référence aux RUP</w:t>
      </w:r>
      <w:r w:rsidRPr="000E4647">
        <w:rPr>
          <w:szCs w:val="20"/>
        </w:rPr>
        <w:t xml:space="preserve">, </w:t>
      </w:r>
      <w:r w:rsidRPr="000E4647">
        <w:rPr>
          <w:bCs/>
          <w:szCs w:val="20"/>
        </w:rPr>
        <w:t>COM(2013) 296 final.</w:t>
      </w:r>
      <w:r w:rsidRPr="000E4647">
        <w:rPr>
          <w:szCs w:val="20"/>
        </w:rPr>
        <w:t xml:space="preserve"> Le Parlement européen l</w:t>
      </w:r>
      <w:r>
        <w:rPr>
          <w:szCs w:val="20"/>
        </w:rPr>
        <w:t>’</w:t>
      </w:r>
      <w:r w:rsidRPr="000E4647">
        <w:rPr>
          <w:szCs w:val="20"/>
        </w:rPr>
        <w:t>a amendée afin de leur permettre d</w:t>
      </w:r>
      <w:r>
        <w:rPr>
          <w:szCs w:val="20"/>
        </w:rPr>
        <w:t>’</w:t>
      </w:r>
      <w:r w:rsidRPr="000E4647">
        <w:rPr>
          <w:szCs w:val="20"/>
        </w:rPr>
        <w:t>échapper à la législation européenne (rapport sur la proposition de règlement du Parlement européen et du Conseil établissant un cadre pour l</w:t>
      </w:r>
      <w:r>
        <w:rPr>
          <w:szCs w:val="20"/>
        </w:rPr>
        <w:t>’</w:t>
      </w:r>
      <w:r w:rsidRPr="000E4647">
        <w:rPr>
          <w:szCs w:val="20"/>
        </w:rPr>
        <w:t>accès au marché des services portuaires et la transparence financière des ports, A8/0023/2016, 17 février 2016, p. 8 et 32). Finalement, l</w:t>
      </w:r>
      <w:r>
        <w:rPr>
          <w:szCs w:val="20"/>
        </w:rPr>
        <w:t>’</w:t>
      </w:r>
      <w:r w:rsidRPr="000E4647">
        <w:rPr>
          <w:szCs w:val="20"/>
        </w:rPr>
        <w:t>article 1</w:t>
      </w:r>
      <w:r w:rsidRPr="000E4647">
        <w:rPr>
          <w:szCs w:val="20"/>
          <w:vertAlign w:val="superscript"/>
        </w:rPr>
        <w:t>er</w:t>
      </w:r>
      <w:r w:rsidRPr="000E4647">
        <w:rPr>
          <w:szCs w:val="20"/>
        </w:rPr>
        <w:t xml:space="preserve"> du règlement autorise cette exception-exclusion</w:t>
      </w:r>
      <w:r w:rsidRPr="000E4647">
        <w:rPr>
          <w:iCs/>
          <w:szCs w:val="20"/>
        </w:rPr>
        <w:t xml:space="preserve"> (JOUE L 57, 3 mars 2017, p. 1).</w:t>
      </w:r>
    </w:p>
  </w:footnote>
  <w:footnote w:id="98">
    <w:p w14:paraId="231324C6" w14:textId="0A600D71" w:rsidR="00835DD6" w:rsidRPr="000E4647" w:rsidRDefault="00835DD6" w:rsidP="00783011">
      <w:pPr>
        <w:pStyle w:val="Notedebasdepage"/>
        <w:rPr>
          <w:szCs w:val="20"/>
        </w:rPr>
      </w:pPr>
      <w:r w:rsidRPr="000E4647">
        <w:rPr>
          <w:rStyle w:val="Marquenotebasdepage"/>
          <w:szCs w:val="20"/>
        </w:rPr>
        <w:footnoteRef/>
      </w:r>
      <w:r w:rsidRPr="000E4647">
        <w:rPr>
          <w:szCs w:val="20"/>
        </w:rPr>
        <w:t xml:space="preserve"> Résolution sur la promotion de la cohésion et du développement dans les régions ultrapériphériques de l</w:t>
      </w:r>
      <w:r>
        <w:rPr>
          <w:szCs w:val="20"/>
        </w:rPr>
        <w:t>’</w:t>
      </w:r>
      <w:r w:rsidRPr="000E4647">
        <w:rPr>
          <w:szCs w:val="20"/>
        </w:rPr>
        <w:t>Union : application de l</w:t>
      </w:r>
      <w:r>
        <w:rPr>
          <w:szCs w:val="20"/>
        </w:rPr>
        <w:t>’</w:t>
      </w:r>
      <w:r w:rsidRPr="000E4647">
        <w:rPr>
          <w:szCs w:val="20"/>
        </w:rPr>
        <w:t xml:space="preserve">article 349 du traité </w:t>
      </w:r>
    </w:p>
  </w:footnote>
  <w:footnote w:id="99">
    <w:p w14:paraId="6AE7E065" w14:textId="57F5B125" w:rsidR="00835DD6" w:rsidRPr="000E4647" w:rsidRDefault="00835DD6">
      <w:pPr>
        <w:pStyle w:val="Notedebasdepage"/>
        <w:rPr>
          <w:szCs w:val="20"/>
        </w:rPr>
      </w:pPr>
      <w:r w:rsidRPr="000E4647">
        <w:rPr>
          <w:rStyle w:val="Marquenotebasdepage"/>
          <w:szCs w:val="20"/>
        </w:rPr>
        <w:footnoteRef/>
      </w:r>
      <w:r w:rsidRPr="000E4647">
        <w:rPr>
          <w:szCs w:val="20"/>
        </w:rPr>
        <w:t xml:space="preserve"> Résolution européenne sur l</w:t>
      </w:r>
      <w:r>
        <w:rPr>
          <w:szCs w:val="20"/>
        </w:rPr>
        <w:t>’</w:t>
      </w:r>
      <w:r w:rsidRPr="000E4647">
        <w:rPr>
          <w:szCs w:val="20"/>
        </w:rPr>
        <w:t>inadaptation des normes agricoles et de la politique commerciale européenne aux spécificités des régions ultrapériphériques</w:t>
      </w:r>
      <w:bookmarkStart w:id="9" w:name="ABSid1693705"/>
      <w:bookmarkEnd w:id="9"/>
      <w:r w:rsidRPr="000E4647">
        <w:rPr>
          <w:szCs w:val="20"/>
        </w:rPr>
        <w:t>, 22 novembre 2016, JORF, 24 novembre 2016, texte n° 75. Sur la propension des parlementaires français à défendre les intérêts de leurs RUP : V. D. Blanc, « L</w:t>
      </w:r>
      <w:r>
        <w:rPr>
          <w:szCs w:val="20"/>
        </w:rPr>
        <w:t>’</w:t>
      </w:r>
      <w:r w:rsidRPr="000E4647">
        <w:rPr>
          <w:szCs w:val="20"/>
        </w:rPr>
        <w:t xml:space="preserve">Union européenne devant le Parlement français : XIVème législature (2012-2017) », </w:t>
      </w:r>
      <w:r w:rsidRPr="000E4647">
        <w:rPr>
          <w:i/>
          <w:szCs w:val="20"/>
        </w:rPr>
        <w:t>Europe</w:t>
      </w:r>
      <w:r w:rsidRPr="000E4647">
        <w:rPr>
          <w:szCs w:val="20"/>
        </w:rPr>
        <w:t>, juin 2017, Etude 6, p. 9 et Europe, novembre 2017, Etude 10, p. 14.</w:t>
      </w:r>
    </w:p>
  </w:footnote>
  <w:footnote w:id="100">
    <w:p w14:paraId="356608C5" w14:textId="08ADB8B8" w:rsidR="00835DD6" w:rsidRPr="000E4647" w:rsidRDefault="00835DD6" w:rsidP="00076283">
      <w:pPr>
        <w:pStyle w:val="Notedebasdepage"/>
        <w:rPr>
          <w:szCs w:val="20"/>
        </w:rPr>
      </w:pPr>
      <w:r w:rsidRPr="000E4647">
        <w:rPr>
          <w:rStyle w:val="Marquenotebasdepage"/>
          <w:szCs w:val="20"/>
        </w:rPr>
        <w:footnoteRef/>
      </w:r>
      <w:r w:rsidRPr="000E4647">
        <w:rPr>
          <w:szCs w:val="20"/>
        </w:rPr>
        <w:t xml:space="preserve"> V. RI n° 617 sur le bilan triennal de son activité, fait par M. Magras au nom de la Délégation sénatoriale aux outre-mer, 6 juil. 2017, p. 19.</w:t>
      </w:r>
    </w:p>
  </w:footnote>
  <w:footnote w:id="101">
    <w:p w14:paraId="5CE28A36" w14:textId="03B9F429" w:rsidR="00835DD6" w:rsidRPr="000E4647" w:rsidRDefault="00835DD6">
      <w:pPr>
        <w:pStyle w:val="Notedebasdepage"/>
        <w:rPr>
          <w:b/>
          <w:szCs w:val="20"/>
        </w:rPr>
      </w:pPr>
      <w:r w:rsidRPr="000E4647">
        <w:rPr>
          <w:rStyle w:val="Marquenotebasdepage"/>
          <w:szCs w:val="20"/>
        </w:rPr>
        <w:footnoteRef/>
      </w:r>
      <w:r w:rsidRPr="000E4647">
        <w:rPr>
          <w:szCs w:val="20"/>
        </w:rPr>
        <w:t xml:space="preserve"> V. J. Ziller, « </w:t>
      </w:r>
      <w:r w:rsidRPr="000E4647">
        <w:rPr>
          <w:szCs w:val="20"/>
          <w:lang w:val="fr-BE"/>
        </w:rPr>
        <w:t>L</w:t>
      </w:r>
      <w:r>
        <w:rPr>
          <w:szCs w:val="20"/>
          <w:lang w:val="fr-BE"/>
        </w:rPr>
        <w:t>’</w:t>
      </w:r>
      <w:r w:rsidRPr="000E4647">
        <w:rPr>
          <w:szCs w:val="20"/>
          <w:lang w:val="fr-BE"/>
        </w:rPr>
        <w:t>intégration européenne dans l</w:t>
      </w:r>
      <w:r>
        <w:rPr>
          <w:szCs w:val="20"/>
          <w:lang w:val="fr-BE"/>
        </w:rPr>
        <w:t>’</w:t>
      </w:r>
      <w:r w:rsidRPr="000E4647">
        <w:rPr>
          <w:szCs w:val="20"/>
          <w:lang w:val="fr-BE"/>
        </w:rPr>
        <w:t xml:space="preserve">océan Indien : une puissance commerciale au service du développement », in </w:t>
      </w:r>
      <w:r w:rsidRPr="000E4647">
        <w:rPr>
          <w:szCs w:val="20"/>
        </w:rPr>
        <w:t xml:space="preserve">D. Blanc et J. Dupont-Lassalle, </w:t>
      </w:r>
      <w:r w:rsidRPr="000E4647">
        <w:rPr>
          <w:i/>
          <w:szCs w:val="20"/>
        </w:rPr>
        <w:t>L</w:t>
      </w:r>
      <w:r>
        <w:rPr>
          <w:i/>
          <w:szCs w:val="20"/>
        </w:rPr>
        <w:t>’</w:t>
      </w:r>
      <w:r w:rsidRPr="000E4647">
        <w:rPr>
          <w:i/>
          <w:szCs w:val="20"/>
        </w:rPr>
        <w:t>Union européenne dans l</w:t>
      </w:r>
      <w:r>
        <w:rPr>
          <w:i/>
          <w:szCs w:val="20"/>
        </w:rPr>
        <w:t>’</w:t>
      </w:r>
      <w:r w:rsidRPr="000E4647">
        <w:rPr>
          <w:i/>
          <w:szCs w:val="20"/>
        </w:rPr>
        <w:t>océan Indien, un modèle de puissance, une puissance modèle</w:t>
      </w:r>
      <w:r w:rsidRPr="000E4647">
        <w:rPr>
          <w:szCs w:val="20"/>
        </w:rPr>
        <w:t xml:space="preserve">, </w:t>
      </w:r>
      <w:r w:rsidRPr="000E4647">
        <w:rPr>
          <w:i/>
          <w:szCs w:val="20"/>
        </w:rPr>
        <w:t>RDUE</w:t>
      </w:r>
      <w:r w:rsidRPr="000E4647">
        <w:rPr>
          <w:szCs w:val="20"/>
        </w:rPr>
        <w:t>, Hors-série, 2018.</w:t>
      </w:r>
    </w:p>
  </w:footnote>
  <w:footnote w:id="102">
    <w:p w14:paraId="30C0C76B" w14:textId="7EC167DB" w:rsidR="00835DD6" w:rsidRPr="000E4647" w:rsidRDefault="00835DD6">
      <w:pPr>
        <w:pStyle w:val="Notedebasdepage"/>
        <w:rPr>
          <w:szCs w:val="20"/>
          <w:lang w:val="en-US"/>
        </w:rPr>
      </w:pPr>
      <w:r w:rsidRPr="000E4647">
        <w:rPr>
          <w:rStyle w:val="Marquenotebasdepage"/>
          <w:szCs w:val="20"/>
        </w:rPr>
        <w:footnoteRef/>
      </w:r>
      <w:r w:rsidRPr="000E4647">
        <w:rPr>
          <w:szCs w:val="20"/>
          <w:lang w:val="en-US"/>
        </w:rPr>
        <w:t xml:space="preserve"> </w:t>
      </w:r>
      <w:proofErr w:type="gramStart"/>
      <w:r w:rsidRPr="000E4647">
        <w:rPr>
          <w:szCs w:val="20"/>
          <w:lang w:val="en-US"/>
        </w:rPr>
        <w:t>COM(</w:t>
      </w:r>
      <w:proofErr w:type="gramEnd"/>
      <w:r w:rsidRPr="000E4647">
        <w:rPr>
          <w:szCs w:val="20"/>
          <w:lang w:val="en-US"/>
        </w:rPr>
        <w:t>2017), 623 final, p. 5.</w:t>
      </w:r>
    </w:p>
  </w:footnote>
  <w:footnote w:id="103">
    <w:p w14:paraId="5D606E68" w14:textId="40A030E8" w:rsidR="00835DD6" w:rsidRPr="000E4647" w:rsidRDefault="00835DD6" w:rsidP="00711786">
      <w:pPr>
        <w:jc w:val="both"/>
        <w:rPr>
          <w:sz w:val="20"/>
          <w:szCs w:val="20"/>
        </w:rPr>
      </w:pPr>
      <w:r w:rsidRPr="000E4647">
        <w:rPr>
          <w:rStyle w:val="Marquenotebasdepage"/>
          <w:sz w:val="20"/>
          <w:szCs w:val="20"/>
        </w:rPr>
        <w:footnoteRef/>
      </w:r>
      <w:r w:rsidRPr="000E4647">
        <w:rPr>
          <w:sz w:val="20"/>
          <w:szCs w:val="20"/>
        </w:rPr>
        <w:t xml:space="preserve"> « </w:t>
      </w:r>
      <w:r w:rsidRPr="000E4647">
        <w:rPr>
          <w:rFonts w:eastAsia="Times New Roman"/>
          <w:sz w:val="20"/>
          <w:szCs w:val="20"/>
        </w:rPr>
        <w:t>Conformément aux conclusions formulées par le Conseil en juin 2010, la Commission veillera à ce que, le cas échéant, la dimension ultrapériphérique soit prise en considération dans les analyses d</w:t>
      </w:r>
      <w:r>
        <w:rPr>
          <w:rFonts w:eastAsia="Times New Roman"/>
          <w:sz w:val="20"/>
          <w:szCs w:val="20"/>
        </w:rPr>
        <w:t>’</w:t>
      </w:r>
      <w:r w:rsidRPr="000E4647">
        <w:rPr>
          <w:rStyle w:val="highlight"/>
          <w:rFonts w:eastAsia="Times New Roman"/>
          <w:sz w:val="20"/>
          <w:szCs w:val="20"/>
        </w:rPr>
        <w:t>impac</w:t>
      </w:r>
      <w:r w:rsidRPr="000E4647">
        <w:rPr>
          <w:rFonts w:eastAsia="Times New Roman"/>
          <w:sz w:val="20"/>
          <w:szCs w:val="20"/>
        </w:rPr>
        <w:t xml:space="preserve">t et autres travaux préparatoires pour de nouvelles initiatives stratégiques ». </w:t>
      </w:r>
      <w:r w:rsidRPr="000E4647">
        <w:rPr>
          <w:sz w:val="20"/>
          <w:szCs w:val="20"/>
        </w:rPr>
        <w:t>Les régions ultrapériphériques de l</w:t>
      </w:r>
      <w:r>
        <w:rPr>
          <w:sz w:val="20"/>
          <w:szCs w:val="20"/>
        </w:rPr>
        <w:t>’</w:t>
      </w:r>
      <w:r w:rsidRPr="000E4647">
        <w:rPr>
          <w:sz w:val="20"/>
          <w:szCs w:val="20"/>
        </w:rPr>
        <w:t xml:space="preserve">Union européenne : vers un partenariat pour une croissance intelligente, durable et inclusive, COM(2012) 287 final, 20 juin 2012, p. 7. </w:t>
      </w:r>
    </w:p>
  </w:footnote>
  <w:footnote w:id="104">
    <w:p w14:paraId="3260CFE9" w14:textId="77777777" w:rsidR="00835DD6" w:rsidRPr="000E4647" w:rsidRDefault="00835DD6" w:rsidP="00B87E18">
      <w:pPr>
        <w:pStyle w:val="Notedebasdepage"/>
        <w:rPr>
          <w:szCs w:val="20"/>
        </w:rPr>
      </w:pPr>
      <w:r w:rsidRPr="000E4647">
        <w:rPr>
          <w:rStyle w:val="Marquenotebasdepage"/>
          <w:szCs w:val="20"/>
        </w:rPr>
        <w:footnoteRef/>
      </w:r>
      <w:r w:rsidRPr="000E4647">
        <w:rPr>
          <w:szCs w:val="20"/>
        </w:rPr>
        <w:t xml:space="preserve"> Article L. 4433-3-2 CGCT.</w:t>
      </w:r>
    </w:p>
  </w:footnote>
  <w:footnote w:id="105">
    <w:p w14:paraId="4714D923" w14:textId="6B70E1B3" w:rsidR="00835DD6" w:rsidRPr="000E4647" w:rsidRDefault="00835DD6" w:rsidP="00B87E18">
      <w:pPr>
        <w:pStyle w:val="Notedebasdepage"/>
        <w:rPr>
          <w:szCs w:val="20"/>
        </w:rPr>
      </w:pPr>
      <w:r w:rsidRPr="000E4647">
        <w:rPr>
          <w:rStyle w:val="Marquenotebasdepage"/>
          <w:szCs w:val="20"/>
        </w:rPr>
        <w:footnoteRef/>
      </w:r>
      <w:r w:rsidRPr="000E4647">
        <w:rPr>
          <w:szCs w:val="20"/>
        </w:rPr>
        <w:t xml:space="preserve"> V. D. Perrot, « Les formes de participation de collectivités ultramarines à l</w:t>
      </w:r>
      <w:r>
        <w:rPr>
          <w:szCs w:val="20"/>
        </w:rPr>
        <w:t>’</w:t>
      </w:r>
      <w:r w:rsidRPr="000E4647">
        <w:rPr>
          <w:szCs w:val="20"/>
        </w:rPr>
        <w:t>élaboration d</w:t>
      </w:r>
      <w:r>
        <w:rPr>
          <w:szCs w:val="20"/>
        </w:rPr>
        <w:t>’</w:t>
      </w:r>
      <w:r w:rsidRPr="000E4647">
        <w:rPr>
          <w:szCs w:val="20"/>
        </w:rPr>
        <w:t xml:space="preserve">actes de la Communauté européenne », in M. </w:t>
      </w:r>
      <w:proofErr w:type="spellStart"/>
      <w:r w:rsidRPr="000E4647">
        <w:rPr>
          <w:szCs w:val="20"/>
        </w:rPr>
        <w:t>Elfort</w:t>
      </w:r>
      <w:proofErr w:type="spellEnd"/>
      <w:r w:rsidRPr="000E4647">
        <w:rPr>
          <w:szCs w:val="20"/>
        </w:rPr>
        <w:t xml:space="preserve">, J.-Y. Faberon </w:t>
      </w:r>
      <w:r w:rsidRPr="000E4647">
        <w:rPr>
          <w:i/>
          <w:szCs w:val="20"/>
        </w:rPr>
        <w:t xml:space="preserve">et </w:t>
      </w:r>
      <w:proofErr w:type="spellStart"/>
      <w:r w:rsidRPr="000E4647">
        <w:rPr>
          <w:i/>
          <w:szCs w:val="20"/>
        </w:rPr>
        <w:t>alii</w:t>
      </w:r>
      <w:proofErr w:type="spellEnd"/>
      <w:r w:rsidRPr="000E4647">
        <w:rPr>
          <w:i/>
          <w:szCs w:val="20"/>
        </w:rPr>
        <w:t xml:space="preserve">. </w:t>
      </w:r>
      <w:r w:rsidRPr="000E4647">
        <w:rPr>
          <w:szCs w:val="20"/>
        </w:rPr>
        <w:t xml:space="preserve">(dir.), </w:t>
      </w:r>
      <w:r w:rsidRPr="000E4647">
        <w:rPr>
          <w:i/>
          <w:szCs w:val="20"/>
        </w:rPr>
        <w:t>La Loi d</w:t>
      </w:r>
      <w:r>
        <w:rPr>
          <w:i/>
          <w:szCs w:val="20"/>
        </w:rPr>
        <w:t>’</w:t>
      </w:r>
      <w:r w:rsidRPr="000E4647">
        <w:rPr>
          <w:i/>
          <w:szCs w:val="20"/>
        </w:rPr>
        <w:t>orientation pour l</w:t>
      </w:r>
      <w:r>
        <w:rPr>
          <w:i/>
          <w:szCs w:val="20"/>
        </w:rPr>
        <w:t>’</w:t>
      </w:r>
      <w:r w:rsidRPr="000E4647">
        <w:rPr>
          <w:i/>
          <w:szCs w:val="20"/>
        </w:rPr>
        <w:t>outre-mer du 13 décembre 2000. Quelles singularités dans la France et l</w:t>
      </w:r>
      <w:r>
        <w:rPr>
          <w:i/>
          <w:szCs w:val="20"/>
        </w:rPr>
        <w:t>’</w:t>
      </w:r>
      <w:r w:rsidRPr="000E4647">
        <w:rPr>
          <w:i/>
          <w:szCs w:val="20"/>
        </w:rPr>
        <w:t>Europe ?</w:t>
      </w:r>
      <w:r w:rsidRPr="000E4647">
        <w:rPr>
          <w:szCs w:val="20"/>
        </w:rPr>
        <w:t xml:space="preserve"> Aix-Marseille, PUAM, 2001, p. 584.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435"/>
    <w:multiLevelType w:val="multilevel"/>
    <w:tmpl w:val="BE9A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A250F0"/>
    <w:multiLevelType w:val="multilevel"/>
    <w:tmpl w:val="B8EC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E2B22"/>
    <w:multiLevelType w:val="multilevel"/>
    <w:tmpl w:val="D60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F4C32"/>
    <w:multiLevelType w:val="multilevel"/>
    <w:tmpl w:val="DE1E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AA5395"/>
    <w:multiLevelType w:val="multilevel"/>
    <w:tmpl w:val="925E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D4087"/>
    <w:multiLevelType w:val="multilevel"/>
    <w:tmpl w:val="95A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B05DDF"/>
    <w:multiLevelType w:val="multilevel"/>
    <w:tmpl w:val="FF5A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575BAB"/>
    <w:multiLevelType w:val="hybridMultilevel"/>
    <w:tmpl w:val="54803972"/>
    <w:lvl w:ilvl="0" w:tplc="61D821B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69D2D3D"/>
    <w:multiLevelType w:val="multilevel"/>
    <w:tmpl w:val="871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F01C53"/>
    <w:multiLevelType w:val="multilevel"/>
    <w:tmpl w:val="959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3"/>
  </w:num>
  <w:num w:numId="5">
    <w:abstractNumId w:val="9"/>
  </w:num>
  <w:num w:numId="6">
    <w:abstractNumId w:val="8"/>
  </w:num>
  <w:num w:numId="7">
    <w:abstractNumId w:val="5"/>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05"/>
    <w:rsid w:val="00012DDC"/>
    <w:rsid w:val="0001620F"/>
    <w:rsid w:val="000276EF"/>
    <w:rsid w:val="00033DFE"/>
    <w:rsid w:val="0003414C"/>
    <w:rsid w:val="00042520"/>
    <w:rsid w:val="000478BA"/>
    <w:rsid w:val="0006276F"/>
    <w:rsid w:val="00063D6B"/>
    <w:rsid w:val="00065B78"/>
    <w:rsid w:val="00072A90"/>
    <w:rsid w:val="00075A25"/>
    <w:rsid w:val="00076283"/>
    <w:rsid w:val="000828B1"/>
    <w:rsid w:val="000877F0"/>
    <w:rsid w:val="00087F27"/>
    <w:rsid w:val="00094A8A"/>
    <w:rsid w:val="000A71F4"/>
    <w:rsid w:val="000B50D4"/>
    <w:rsid w:val="000C3D8A"/>
    <w:rsid w:val="000C466A"/>
    <w:rsid w:val="000C6E5B"/>
    <w:rsid w:val="000D1AE0"/>
    <w:rsid w:val="000D31E4"/>
    <w:rsid w:val="000D5DD6"/>
    <w:rsid w:val="000E035D"/>
    <w:rsid w:val="000E0B48"/>
    <w:rsid w:val="000E4647"/>
    <w:rsid w:val="0010556D"/>
    <w:rsid w:val="0012164B"/>
    <w:rsid w:val="00121814"/>
    <w:rsid w:val="00123B95"/>
    <w:rsid w:val="00124305"/>
    <w:rsid w:val="00124F61"/>
    <w:rsid w:val="00132502"/>
    <w:rsid w:val="001414E4"/>
    <w:rsid w:val="0014314B"/>
    <w:rsid w:val="00151124"/>
    <w:rsid w:val="001539E4"/>
    <w:rsid w:val="00157A41"/>
    <w:rsid w:val="001639F1"/>
    <w:rsid w:val="00174125"/>
    <w:rsid w:val="001747DD"/>
    <w:rsid w:val="001751F9"/>
    <w:rsid w:val="0017637F"/>
    <w:rsid w:val="0018159A"/>
    <w:rsid w:val="001826B2"/>
    <w:rsid w:val="00184D95"/>
    <w:rsid w:val="00192097"/>
    <w:rsid w:val="00194B6A"/>
    <w:rsid w:val="00195D9C"/>
    <w:rsid w:val="00195E53"/>
    <w:rsid w:val="001A0E0F"/>
    <w:rsid w:val="001B3F31"/>
    <w:rsid w:val="001B520F"/>
    <w:rsid w:val="001C1F93"/>
    <w:rsid w:val="001C4736"/>
    <w:rsid w:val="001C6FF3"/>
    <w:rsid w:val="001D08FF"/>
    <w:rsid w:val="001D67EB"/>
    <w:rsid w:val="001D7797"/>
    <w:rsid w:val="001E3BA8"/>
    <w:rsid w:val="001E576A"/>
    <w:rsid w:val="001E6C29"/>
    <w:rsid w:val="001E6D2B"/>
    <w:rsid w:val="001F0BB1"/>
    <w:rsid w:val="001F6D3F"/>
    <w:rsid w:val="001F6D90"/>
    <w:rsid w:val="00200F12"/>
    <w:rsid w:val="00206763"/>
    <w:rsid w:val="00206864"/>
    <w:rsid w:val="002117BF"/>
    <w:rsid w:val="00215F8D"/>
    <w:rsid w:val="002255F1"/>
    <w:rsid w:val="00225A23"/>
    <w:rsid w:val="00225E79"/>
    <w:rsid w:val="00226513"/>
    <w:rsid w:val="002317C0"/>
    <w:rsid w:val="00236570"/>
    <w:rsid w:val="00237800"/>
    <w:rsid w:val="002407CD"/>
    <w:rsid w:val="00240BAF"/>
    <w:rsid w:val="00241C84"/>
    <w:rsid w:val="00243DC1"/>
    <w:rsid w:val="002474D8"/>
    <w:rsid w:val="00256307"/>
    <w:rsid w:val="00260ABD"/>
    <w:rsid w:val="00267B4D"/>
    <w:rsid w:val="0027245C"/>
    <w:rsid w:val="00272F14"/>
    <w:rsid w:val="00273387"/>
    <w:rsid w:val="00274A8B"/>
    <w:rsid w:val="0027590C"/>
    <w:rsid w:val="00275CCD"/>
    <w:rsid w:val="00275E18"/>
    <w:rsid w:val="002A0EE9"/>
    <w:rsid w:val="002A6E7B"/>
    <w:rsid w:val="002C4612"/>
    <w:rsid w:val="002C6D3D"/>
    <w:rsid w:val="002D69A8"/>
    <w:rsid w:val="002E2B0D"/>
    <w:rsid w:val="002F030A"/>
    <w:rsid w:val="002F5C6F"/>
    <w:rsid w:val="002F61CC"/>
    <w:rsid w:val="00301EC3"/>
    <w:rsid w:val="003104A5"/>
    <w:rsid w:val="003179B7"/>
    <w:rsid w:val="00317F54"/>
    <w:rsid w:val="0032011D"/>
    <w:rsid w:val="00320982"/>
    <w:rsid w:val="00322401"/>
    <w:rsid w:val="00323192"/>
    <w:rsid w:val="003244DE"/>
    <w:rsid w:val="00333239"/>
    <w:rsid w:val="00341CB8"/>
    <w:rsid w:val="003428DA"/>
    <w:rsid w:val="00354E49"/>
    <w:rsid w:val="00361AA3"/>
    <w:rsid w:val="00363EF5"/>
    <w:rsid w:val="003664F5"/>
    <w:rsid w:val="003702E8"/>
    <w:rsid w:val="00371E03"/>
    <w:rsid w:val="003729E4"/>
    <w:rsid w:val="00381CF7"/>
    <w:rsid w:val="00381EAE"/>
    <w:rsid w:val="00382E37"/>
    <w:rsid w:val="00391024"/>
    <w:rsid w:val="003931E8"/>
    <w:rsid w:val="00397D0B"/>
    <w:rsid w:val="003A1A3D"/>
    <w:rsid w:val="003B18F3"/>
    <w:rsid w:val="003B200D"/>
    <w:rsid w:val="003B3CF0"/>
    <w:rsid w:val="003B603A"/>
    <w:rsid w:val="003C253B"/>
    <w:rsid w:val="003C406D"/>
    <w:rsid w:val="003C43BE"/>
    <w:rsid w:val="003D25CC"/>
    <w:rsid w:val="003D4574"/>
    <w:rsid w:val="003D74AA"/>
    <w:rsid w:val="003D7A7A"/>
    <w:rsid w:val="003F46C7"/>
    <w:rsid w:val="003F6C20"/>
    <w:rsid w:val="00401332"/>
    <w:rsid w:val="00402F40"/>
    <w:rsid w:val="004040B1"/>
    <w:rsid w:val="004111C5"/>
    <w:rsid w:val="00412B02"/>
    <w:rsid w:val="004130D9"/>
    <w:rsid w:val="00416CC6"/>
    <w:rsid w:val="00421687"/>
    <w:rsid w:val="00426BA4"/>
    <w:rsid w:val="004273C0"/>
    <w:rsid w:val="00427B87"/>
    <w:rsid w:val="00435360"/>
    <w:rsid w:val="00437006"/>
    <w:rsid w:val="004379C0"/>
    <w:rsid w:val="004409A2"/>
    <w:rsid w:val="00450137"/>
    <w:rsid w:val="00454E21"/>
    <w:rsid w:val="00456B47"/>
    <w:rsid w:val="00461A6C"/>
    <w:rsid w:val="004623C0"/>
    <w:rsid w:val="004633DE"/>
    <w:rsid w:val="00466D3B"/>
    <w:rsid w:val="00467918"/>
    <w:rsid w:val="00467AD2"/>
    <w:rsid w:val="004720E4"/>
    <w:rsid w:val="004756FA"/>
    <w:rsid w:val="00477775"/>
    <w:rsid w:val="00477C2E"/>
    <w:rsid w:val="004801C4"/>
    <w:rsid w:val="00480B2D"/>
    <w:rsid w:val="00480F17"/>
    <w:rsid w:val="004843DD"/>
    <w:rsid w:val="004903B5"/>
    <w:rsid w:val="004915B2"/>
    <w:rsid w:val="00493F52"/>
    <w:rsid w:val="00496169"/>
    <w:rsid w:val="00497A80"/>
    <w:rsid w:val="004A13A4"/>
    <w:rsid w:val="004B533A"/>
    <w:rsid w:val="004C1D4D"/>
    <w:rsid w:val="004D008B"/>
    <w:rsid w:val="004D4314"/>
    <w:rsid w:val="004D4AED"/>
    <w:rsid w:val="004E1318"/>
    <w:rsid w:val="004E2609"/>
    <w:rsid w:val="004E27D8"/>
    <w:rsid w:val="004E29A7"/>
    <w:rsid w:val="004E2F21"/>
    <w:rsid w:val="004E45B6"/>
    <w:rsid w:val="004F0EA0"/>
    <w:rsid w:val="00501B56"/>
    <w:rsid w:val="00502DE2"/>
    <w:rsid w:val="00504036"/>
    <w:rsid w:val="00504FC0"/>
    <w:rsid w:val="00507C32"/>
    <w:rsid w:val="00520884"/>
    <w:rsid w:val="0054263B"/>
    <w:rsid w:val="00553948"/>
    <w:rsid w:val="005541D6"/>
    <w:rsid w:val="00556DC5"/>
    <w:rsid w:val="00560B09"/>
    <w:rsid w:val="00572319"/>
    <w:rsid w:val="0058335E"/>
    <w:rsid w:val="00585A2B"/>
    <w:rsid w:val="005861AC"/>
    <w:rsid w:val="00591F03"/>
    <w:rsid w:val="00593C07"/>
    <w:rsid w:val="00596DBB"/>
    <w:rsid w:val="005A5956"/>
    <w:rsid w:val="005A6A89"/>
    <w:rsid w:val="005A7A0C"/>
    <w:rsid w:val="005B3E78"/>
    <w:rsid w:val="005C08F9"/>
    <w:rsid w:val="005C0DBC"/>
    <w:rsid w:val="005C65DC"/>
    <w:rsid w:val="005C7C17"/>
    <w:rsid w:val="005D44CC"/>
    <w:rsid w:val="005D482E"/>
    <w:rsid w:val="005E4125"/>
    <w:rsid w:val="005F45F8"/>
    <w:rsid w:val="00604360"/>
    <w:rsid w:val="0060521D"/>
    <w:rsid w:val="00607AE0"/>
    <w:rsid w:val="00614397"/>
    <w:rsid w:val="006158DC"/>
    <w:rsid w:val="0061751E"/>
    <w:rsid w:val="00617D1F"/>
    <w:rsid w:val="0063246F"/>
    <w:rsid w:val="00634179"/>
    <w:rsid w:val="00640299"/>
    <w:rsid w:val="006555AD"/>
    <w:rsid w:val="00656044"/>
    <w:rsid w:val="0065604F"/>
    <w:rsid w:val="00660856"/>
    <w:rsid w:val="0067562A"/>
    <w:rsid w:val="00677350"/>
    <w:rsid w:val="006814FE"/>
    <w:rsid w:val="00685C06"/>
    <w:rsid w:val="00690C0D"/>
    <w:rsid w:val="00694E6B"/>
    <w:rsid w:val="00696F34"/>
    <w:rsid w:val="006A06BA"/>
    <w:rsid w:val="006A4DE5"/>
    <w:rsid w:val="006A6223"/>
    <w:rsid w:val="006A629D"/>
    <w:rsid w:val="006C2F4B"/>
    <w:rsid w:val="006C311E"/>
    <w:rsid w:val="006C3D97"/>
    <w:rsid w:val="006D0BAC"/>
    <w:rsid w:val="006D3E94"/>
    <w:rsid w:val="006D734B"/>
    <w:rsid w:val="006D78D5"/>
    <w:rsid w:val="006D7D44"/>
    <w:rsid w:val="006E7A61"/>
    <w:rsid w:val="006F4105"/>
    <w:rsid w:val="006F4F64"/>
    <w:rsid w:val="0070264C"/>
    <w:rsid w:val="00704A55"/>
    <w:rsid w:val="007050AC"/>
    <w:rsid w:val="00711786"/>
    <w:rsid w:val="00713607"/>
    <w:rsid w:val="00713E45"/>
    <w:rsid w:val="00713F0C"/>
    <w:rsid w:val="0071533D"/>
    <w:rsid w:val="00721182"/>
    <w:rsid w:val="007237E1"/>
    <w:rsid w:val="00724C45"/>
    <w:rsid w:val="00726D82"/>
    <w:rsid w:val="00732996"/>
    <w:rsid w:val="0073415D"/>
    <w:rsid w:val="007353FE"/>
    <w:rsid w:val="00736627"/>
    <w:rsid w:val="007401B4"/>
    <w:rsid w:val="007403A6"/>
    <w:rsid w:val="00760CB9"/>
    <w:rsid w:val="00763519"/>
    <w:rsid w:val="00763EC9"/>
    <w:rsid w:val="007641F2"/>
    <w:rsid w:val="00764B26"/>
    <w:rsid w:val="0076662A"/>
    <w:rsid w:val="00766E4A"/>
    <w:rsid w:val="0077052D"/>
    <w:rsid w:val="00775528"/>
    <w:rsid w:val="0077637C"/>
    <w:rsid w:val="007774EC"/>
    <w:rsid w:val="007807CF"/>
    <w:rsid w:val="00781BBC"/>
    <w:rsid w:val="00783011"/>
    <w:rsid w:val="007879D5"/>
    <w:rsid w:val="00795400"/>
    <w:rsid w:val="00796816"/>
    <w:rsid w:val="007A323F"/>
    <w:rsid w:val="007B3B1D"/>
    <w:rsid w:val="007D2E96"/>
    <w:rsid w:val="007D593A"/>
    <w:rsid w:val="007D5BC2"/>
    <w:rsid w:val="007D6415"/>
    <w:rsid w:val="007E123F"/>
    <w:rsid w:val="007E2759"/>
    <w:rsid w:val="007E6670"/>
    <w:rsid w:val="007E7B23"/>
    <w:rsid w:val="007F55DC"/>
    <w:rsid w:val="00801655"/>
    <w:rsid w:val="0080339A"/>
    <w:rsid w:val="00803E68"/>
    <w:rsid w:val="0080460C"/>
    <w:rsid w:val="008073D8"/>
    <w:rsid w:val="00810029"/>
    <w:rsid w:val="00810D5D"/>
    <w:rsid w:val="0081271C"/>
    <w:rsid w:val="00813555"/>
    <w:rsid w:val="00815F50"/>
    <w:rsid w:val="00817F91"/>
    <w:rsid w:val="00820416"/>
    <w:rsid w:val="00820915"/>
    <w:rsid w:val="008213D7"/>
    <w:rsid w:val="00822AC8"/>
    <w:rsid w:val="00823636"/>
    <w:rsid w:val="00831DEA"/>
    <w:rsid w:val="00832396"/>
    <w:rsid w:val="00834CE5"/>
    <w:rsid w:val="00835DD6"/>
    <w:rsid w:val="0084290D"/>
    <w:rsid w:val="008501D7"/>
    <w:rsid w:val="00851A4C"/>
    <w:rsid w:val="008573C7"/>
    <w:rsid w:val="0086723A"/>
    <w:rsid w:val="00870B23"/>
    <w:rsid w:val="008813D2"/>
    <w:rsid w:val="008815F4"/>
    <w:rsid w:val="008851FD"/>
    <w:rsid w:val="0089236D"/>
    <w:rsid w:val="00892DC3"/>
    <w:rsid w:val="008A6E20"/>
    <w:rsid w:val="008A7B8A"/>
    <w:rsid w:val="008B35AB"/>
    <w:rsid w:val="008B4B22"/>
    <w:rsid w:val="008C13A8"/>
    <w:rsid w:val="008D0B73"/>
    <w:rsid w:val="008D108E"/>
    <w:rsid w:val="008E3308"/>
    <w:rsid w:val="008E3339"/>
    <w:rsid w:val="008F14EE"/>
    <w:rsid w:val="008F22F2"/>
    <w:rsid w:val="008F3925"/>
    <w:rsid w:val="008F4A65"/>
    <w:rsid w:val="008F7550"/>
    <w:rsid w:val="009004EA"/>
    <w:rsid w:val="009168FC"/>
    <w:rsid w:val="00916E5A"/>
    <w:rsid w:val="00921219"/>
    <w:rsid w:val="00921A63"/>
    <w:rsid w:val="00927811"/>
    <w:rsid w:val="00931705"/>
    <w:rsid w:val="00935D50"/>
    <w:rsid w:val="00945E9F"/>
    <w:rsid w:val="00951B23"/>
    <w:rsid w:val="009529C3"/>
    <w:rsid w:val="0096118C"/>
    <w:rsid w:val="00962046"/>
    <w:rsid w:val="009736DE"/>
    <w:rsid w:val="00975848"/>
    <w:rsid w:val="00977076"/>
    <w:rsid w:val="00980493"/>
    <w:rsid w:val="00986206"/>
    <w:rsid w:val="00990729"/>
    <w:rsid w:val="00991CF1"/>
    <w:rsid w:val="00993D6D"/>
    <w:rsid w:val="009A103E"/>
    <w:rsid w:val="009A5E78"/>
    <w:rsid w:val="009B65A8"/>
    <w:rsid w:val="009B69E6"/>
    <w:rsid w:val="009C0B49"/>
    <w:rsid w:val="009C2ADF"/>
    <w:rsid w:val="009D1FBB"/>
    <w:rsid w:val="009D7A1C"/>
    <w:rsid w:val="009E02B2"/>
    <w:rsid w:val="009E1BC1"/>
    <w:rsid w:val="009E3154"/>
    <w:rsid w:val="009E4BF4"/>
    <w:rsid w:val="009E7C3E"/>
    <w:rsid w:val="009F24A0"/>
    <w:rsid w:val="009F3E42"/>
    <w:rsid w:val="009F407D"/>
    <w:rsid w:val="009F4C56"/>
    <w:rsid w:val="00A010E2"/>
    <w:rsid w:val="00A04FCE"/>
    <w:rsid w:val="00A0505B"/>
    <w:rsid w:val="00A11AB5"/>
    <w:rsid w:val="00A15CCD"/>
    <w:rsid w:val="00A15E1F"/>
    <w:rsid w:val="00A214FB"/>
    <w:rsid w:val="00A22042"/>
    <w:rsid w:val="00A2282F"/>
    <w:rsid w:val="00A27C56"/>
    <w:rsid w:val="00A31B46"/>
    <w:rsid w:val="00A332CE"/>
    <w:rsid w:val="00A346A6"/>
    <w:rsid w:val="00A4703D"/>
    <w:rsid w:val="00A53F3E"/>
    <w:rsid w:val="00A561CC"/>
    <w:rsid w:val="00A6006D"/>
    <w:rsid w:val="00A65271"/>
    <w:rsid w:val="00A67281"/>
    <w:rsid w:val="00A72CED"/>
    <w:rsid w:val="00A731E0"/>
    <w:rsid w:val="00A75B71"/>
    <w:rsid w:val="00A827D8"/>
    <w:rsid w:val="00A83F4F"/>
    <w:rsid w:val="00A97570"/>
    <w:rsid w:val="00AA0194"/>
    <w:rsid w:val="00AA10A2"/>
    <w:rsid w:val="00AA27E3"/>
    <w:rsid w:val="00AA5AB3"/>
    <w:rsid w:val="00AA7ECD"/>
    <w:rsid w:val="00AB2FEA"/>
    <w:rsid w:val="00AB4FEF"/>
    <w:rsid w:val="00AC1799"/>
    <w:rsid w:val="00AC52C6"/>
    <w:rsid w:val="00AD7C42"/>
    <w:rsid w:val="00AE664A"/>
    <w:rsid w:val="00AE7734"/>
    <w:rsid w:val="00AF044C"/>
    <w:rsid w:val="00AF0AFB"/>
    <w:rsid w:val="00AF1B41"/>
    <w:rsid w:val="00AF2C5A"/>
    <w:rsid w:val="00AF46EA"/>
    <w:rsid w:val="00AF525D"/>
    <w:rsid w:val="00AF77DC"/>
    <w:rsid w:val="00B00A8E"/>
    <w:rsid w:val="00B00AA0"/>
    <w:rsid w:val="00B02E56"/>
    <w:rsid w:val="00B02FB6"/>
    <w:rsid w:val="00B046B1"/>
    <w:rsid w:val="00B057FB"/>
    <w:rsid w:val="00B108DB"/>
    <w:rsid w:val="00B10D40"/>
    <w:rsid w:val="00B1708D"/>
    <w:rsid w:val="00B21B0B"/>
    <w:rsid w:val="00B23DFA"/>
    <w:rsid w:val="00B241E1"/>
    <w:rsid w:val="00B254F3"/>
    <w:rsid w:val="00B2733F"/>
    <w:rsid w:val="00B275C4"/>
    <w:rsid w:val="00B3133E"/>
    <w:rsid w:val="00B31BFF"/>
    <w:rsid w:val="00B31F1B"/>
    <w:rsid w:val="00B37684"/>
    <w:rsid w:val="00B37BD6"/>
    <w:rsid w:val="00B37D96"/>
    <w:rsid w:val="00B40F90"/>
    <w:rsid w:val="00B418B9"/>
    <w:rsid w:val="00B607F3"/>
    <w:rsid w:val="00B6099B"/>
    <w:rsid w:val="00B61C82"/>
    <w:rsid w:val="00B63644"/>
    <w:rsid w:val="00B67C93"/>
    <w:rsid w:val="00B713E2"/>
    <w:rsid w:val="00B72619"/>
    <w:rsid w:val="00B75880"/>
    <w:rsid w:val="00B774CF"/>
    <w:rsid w:val="00B80A9C"/>
    <w:rsid w:val="00B84A27"/>
    <w:rsid w:val="00B85409"/>
    <w:rsid w:val="00B8542B"/>
    <w:rsid w:val="00B87618"/>
    <w:rsid w:val="00B87E18"/>
    <w:rsid w:val="00B92237"/>
    <w:rsid w:val="00B964CE"/>
    <w:rsid w:val="00BA228B"/>
    <w:rsid w:val="00BA358E"/>
    <w:rsid w:val="00BA38DB"/>
    <w:rsid w:val="00BA72E9"/>
    <w:rsid w:val="00BB5E8B"/>
    <w:rsid w:val="00BB6CEF"/>
    <w:rsid w:val="00BC43C2"/>
    <w:rsid w:val="00BC4F02"/>
    <w:rsid w:val="00BC5595"/>
    <w:rsid w:val="00BC58BE"/>
    <w:rsid w:val="00BD63EE"/>
    <w:rsid w:val="00BD6507"/>
    <w:rsid w:val="00BF04E8"/>
    <w:rsid w:val="00BF7428"/>
    <w:rsid w:val="00C00454"/>
    <w:rsid w:val="00C02E8B"/>
    <w:rsid w:val="00C05919"/>
    <w:rsid w:val="00C05F0C"/>
    <w:rsid w:val="00C0618F"/>
    <w:rsid w:val="00C15C63"/>
    <w:rsid w:val="00C15CB8"/>
    <w:rsid w:val="00C21324"/>
    <w:rsid w:val="00C22ED8"/>
    <w:rsid w:val="00C36A67"/>
    <w:rsid w:val="00C43595"/>
    <w:rsid w:val="00C439D7"/>
    <w:rsid w:val="00C46822"/>
    <w:rsid w:val="00C47675"/>
    <w:rsid w:val="00C631C0"/>
    <w:rsid w:val="00C63EB4"/>
    <w:rsid w:val="00C65558"/>
    <w:rsid w:val="00C87536"/>
    <w:rsid w:val="00C923C4"/>
    <w:rsid w:val="00C94B86"/>
    <w:rsid w:val="00CA3728"/>
    <w:rsid w:val="00CA3985"/>
    <w:rsid w:val="00CA5876"/>
    <w:rsid w:val="00CB29E3"/>
    <w:rsid w:val="00CB4FC4"/>
    <w:rsid w:val="00CB5DA1"/>
    <w:rsid w:val="00CB734F"/>
    <w:rsid w:val="00CB7815"/>
    <w:rsid w:val="00CC0728"/>
    <w:rsid w:val="00CC3E59"/>
    <w:rsid w:val="00CD0403"/>
    <w:rsid w:val="00CD1674"/>
    <w:rsid w:val="00CF4F97"/>
    <w:rsid w:val="00CF60A9"/>
    <w:rsid w:val="00CF7DB7"/>
    <w:rsid w:val="00D068E9"/>
    <w:rsid w:val="00D172CE"/>
    <w:rsid w:val="00D177E2"/>
    <w:rsid w:val="00D21977"/>
    <w:rsid w:val="00D228E0"/>
    <w:rsid w:val="00D3592B"/>
    <w:rsid w:val="00D36A12"/>
    <w:rsid w:val="00D36F4E"/>
    <w:rsid w:val="00D375FE"/>
    <w:rsid w:val="00D41038"/>
    <w:rsid w:val="00D41C65"/>
    <w:rsid w:val="00D45778"/>
    <w:rsid w:val="00D45B8F"/>
    <w:rsid w:val="00D46C8F"/>
    <w:rsid w:val="00D511EA"/>
    <w:rsid w:val="00D569F1"/>
    <w:rsid w:val="00D57437"/>
    <w:rsid w:val="00D6689F"/>
    <w:rsid w:val="00D67914"/>
    <w:rsid w:val="00D70E1A"/>
    <w:rsid w:val="00D7508A"/>
    <w:rsid w:val="00D7559A"/>
    <w:rsid w:val="00D7595E"/>
    <w:rsid w:val="00D77B3D"/>
    <w:rsid w:val="00D802AF"/>
    <w:rsid w:val="00D8062A"/>
    <w:rsid w:val="00D83946"/>
    <w:rsid w:val="00D84A3C"/>
    <w:rsid w:val="00D85D17"/>
    <w:rsid w:val="00D940DE"/>
    <w:rsid w:val="00DA491E"/>
    <w:rsid w:val="00DA6694"/>
    <w:rsid w:val="00DB403D"/>
    <w:rsid w:val="00DB417D"/>
    <w:rsid w:val="00DB47E0"/>
    <w:rsid w:val="00DB5F34"/>
    <w:rsid w:val="00DC2F8F"/>
    <w:rsid w:val="00DD5A8B"/>
    <w:rsid w:val="00DE6645"/>
    <w:rsid w:val="00DE6BFB"/>
    <w:rsid w:val="00DF7A01"/>
    <w:rsid w:val="00E010CD"/>
    <w:rsid w:val="00E019DA"/>
    <w:rsid w:val="00E10EB8"/>
    <w:rsid w:val="00E1127B"/>
    <w:rsid w:val="00E1131A"/>
    <w:rsid w:val="00E16C1E"/>
    <w:rsid w:val="00E17063"/>
    <w:rsid w:val="00E170EA"/>
    <w:rsid w:val="00E22F9B"/>
    <w:rsid w:val="00E26BA4"/>
    <w:rsid w:val="00E32DE5"/>
    <w:rsid w:val="00E40BFE"/>
    <w:rsid w:val="00E46BBC"/>
    <w:rsid w:val="00E55B42"/>
    <w:rsid w:val="00E6283D"/>
    <w:rsid w:val="00E64293"/>
    <w:rsid w:val="00E73F78"/>
    <w:rsid w:val="00E75153"/>
    <w:rsid w:val="00E76F84"/>
    <w:rsid w:val="00E838DF"/>
    <w:rsid w:val="00E86B02"/>
    <w:rsid w:val="00E909D4"/>
    <w:rsid w:val="00E916EC"/>
    <w:rsid w:val="00E92134"/>
    <w:rsid w:val="00EA4CE3"/>
    <w:rsid w:val="00EA5FED"/>
    <w:rsid w:val="00EB2832"/>
    <w:rsid w:val="00EB33DF"/>
    <w:rsid w:val="00EB60E1"/>
    <w:rsid w:val="00EC244F"/>
    <w:rsid w:val="00EC4982"/>
    <w:rsid w:val="00EC791D"/>
    <w:rsid w:val="00ED06F8"/>
    <w:rsid w:val="00ED70DA"/>
    <w:rsid w:val="00ED7173"/>
    <w:rsid w:val="00EE2D72"/>
    <w:rsid w:val="00EF28A4"/>
    <w:rsid w:val="00EF5391"/>
    <w:rsid w:val="00F00577"/>
    <w:rsid w:val="00F02A63"/>
    <w:rsid w:val="00F225C4"/>
    <w:rsid w:val="00F37457"/>
    <w:rsid w:val="00F454B3"/>
    <w:rsid w:val="00F45A4F"/>
    <w:rsid w:val="00F45DC7"/>
    <w:rsid w:val="00F46AF9"/>
    <w:rsid w:val="00F5306B"/>
    <w:rsid w:val="00F53934"/>
    <w:rsid w:val="00F57140"/>
    <w:rsid w:val="00F62BF6"/>
    <w:rsid w:val="00F62D9F"/>
    <w:rsid w:val="00F71CB2"/>
    <w:rsid w:val="00F725E5"/>
    <w:rsid w:val="00F72E19"/>
    <w:rsid w:val="00F76180"/>
    <w:rsid w:val="00F83398"/>
    <w:rsid w:val="00F85A96"/>
    <w:rsid w:val="00F86F8D"/>
    <w:rsid w:val="00F922F2"/>
    <w:rsid w:val="00F92600"/>
    <w:rsid w:val="00F9668F"/>
    <w:rsid w:val="00FA103F"/>
    <w:rsid w:val="00FA1BEB"/>
    <w:rsid w:val="00FA37EF"/>
    <w:rsid w:val="00FA5089"/>
    <w:rsid w:val="00FA6BDE"/>
    <w:rsid w:val="00FA7F34"/>
    <w:rsid w:val="00FB0B5F"/>
    <w:rsid w:val="00FD0873"/>
    <w:rsid w:val="00FD32F1"/>
    <w:rsid w:val="00FD3713"/>
    <w:rsid w:val="00FD38BE"/>
    <w:rsid w:val="00FE02FC"/>
    <w:rsid w:val="00FE4652"/>
    <w:rsid w:val="00FE4D7C"/>
    <w:rsid w:val="00FE7D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53E14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0F"/>
    <w:rPr>
      <w:rFonts w:ascii="Times New Roman" w:hAnsi="Times New Roman" w:cs="Times New Roman"/>
      <w:lang w:eastAsia="fr-FR"/>
    </w:rPr>
  </w:style>
  <w:style w:type="paragraph" w:styleId="Titre1">
    <w:name w:val="heading 1"/>
    <w:basedOn w:val="Normal"/>
    <w:next w:val="Normal"/>
    <w:link w:val="Titre1Car"/>
    <w:uiPriority w:val="9"/>
    <w:qFormat/>
    <w:rsid w:val="00012D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D44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92600"/>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 Car Car Car,Note de bas de page Car Car,Footnote Text Char,Footnote Text Char Char Char Char,Footnote Text Char Char Char Char Char Char Char Char,Footnote Text Char Char Char Char Char Char1,Char Char Char Char"/>
    <w:basedOn w:val="Normal"/>
    <w:link w:val="NotedebasdepageCar"/>
    <w:uiPriority w:val="99"/>
    <w:unhideWhenUsed/>
    <w:rsid w:val="001E6D2B"/>
    <w:pPr>
      <w:jc w:val="both"/>
    </w:pPr>
    <w:rPr>
      <w:sz w:val="20"/>
    </w:rPr>
  </w:style>
  <w:style w:type="character" w:customStyle="1" w:styleId="NotedebasdepageCar">
    <w:name w:val="Note de bas de page Car"/>
    <w:aliases w:val="Note de bas de page Car Car Car Car,Note de bas de page Car Car Car1,Footnote Text Char Car,Footnote Text Char Char Char Char Car,Footnote Text Char Char Char Char Char Char Char Char Car,Char Char Char Char Car"/>
    <w:basedOn w:val="Policepardfaut"/>
    <w:link w:val="Notedebasdepage"/>
    <w:uiPriority w:val="99"/>
    <w:rsid w:val="001E6D2B"/>
    <w:rPr>
      <w:rFonts w:ascii="Times New Roman" w:hAnsi="Times New Roman"/>
      <w:sz w:val="20"/>
    </w:rPr>
  </w:style>
  <w:style w:type="character" w:styleId="Marquenotebasdepage">
    <w:name w:val="footnote reference"/>
    <w:aliases w:val="note de bas de p."/>
    <w:basedOn w:val="Policepardfaut"/>
    <w:uiPriority w:val="99"/>
    <w:unhideWhenUsed/>
    <w:rsid w:val="006F4105"/>
    <w:rPr>
      <w:vertAlign w:val="superscript"/>
    </w:rPr>
  </w:style>
  <w:style w:type="paragraph" w:customStyle="1" w:styleId="NBP">
    <w:name w:val="NBP"/>
    <w:basedOn w:val="Notedebasdepage"/>
    <w:next w:val="Texte"/>
    <w:rsid w:val="009168FC"/>
    <w:rPr>
      <w:szCs w:val="20"/>
    </w:rPr>
  </w:style>
  <w:style w:type="paragraph" w:customStyle="1" w:styleId="Texte">
    <w:name w:val="Texte"/>
    <w:basedOn w:val="Normal"/>
    <w:link w:val="TexteCar"/>
    <w:qFormat/>
    <w:rsid w:val="00B254F3"/>
    <w:pPr>
      <w:spacing w:before="120" w:after="120" w:line="360" w:lineRule="auto"/>
      <w:ind w:firstLine="720"/>
      <w:jc w:val="both"/>
    </w:pPr>
    <w:rPr>
      <w:rFonts w:eastAsia="Times New Roman"/>
      <w:bCs/>
    </w:rPr>
  </w:style>
  <w:style w:type="character" w:customStyle="1" w:styleId="TexteCar">
    <w:name w:val="Texte Car"/>
    <w:link w:val="Texte"/>
    <w:rsid w:val="00B254F3"/>
    <w:rPr>
      <w:rFonts w:ascii="Times New Roman" w:eastAsia="Times New Roman" w:hAnsi="Times New Roman" w:cs="Times New Roman"/>
      <w:bCs/>
      <w:lang w:eastAsia="fr-FR"/>
    </w:rPr>
  </w:style>
  <w:style w:type="paragraph" w:customStyle="1" w:styleId="p1">
    <w:name w:val="p1"/>
    <w:basedOn w:val="Normal"/>
    <w:rsid w:val="00ED7173"/>
    <w:rPr>
      <w:rFonts w:ascii="Helvetica Neue" w:hAnsi="Helvetica Neue"/>
      <w:color w:val="454545"/>
      <w:sz w:val="18"/>
      <w:szCs w:val="18"/>
    </w:rPr>
  </w:style>
  <w:style w:type="character" w:customStyle="1" w:styleId="apple-converted-space">
    <w:name w:val="apple-converted-space"/>
    <w:basedOn w:val="Policepardfaut"/>
    <w:rsid w:val="00ED7173"/>
  </w:style>
  <w:style w:type="paragraph" w:styleId="Notedefin">
    <w:name w:val="endnote text"/>
    <w:basedOn w:val="Normal"/>
    <w:link w:val="NotedefinCar"/>
    <w:uiPriority w:val="99"/>
    <w:unhideWhenUsed/>
    <w:rsid w:val="004F0EA0"/>
  </w:style>
  <w:style w:type="character" w:customStyle="1" w:styleId="NotedefinCar">
    <w:name w:val="Note de fin Car"/>
    <w:basedOn w:val="Policepardfaut"/>
    <w:link w:val="Notedefin"/>
    <w:uiPriority w:val="99"/>
    <w:rsid w:val="004F0EA0"/>
  </w:style>
  <w:style w:type="character" w:styleId="Marquedenotedefin">
    <w:name w:val="endnote reference"/>
    <w:basedOn w:val="Policepardfaut"/>
    <w:uiPriority w:val="99"/>
    <w:unhideWhenUsed/>
    <w:rsid w:val="004F0EA0"/>
    <w:rPr>
      <w:vertAlign w:val="superscript"/>
    </w:rPr>
  </w:style>
  <w:style w:type="character" w:customStyle="1" w:styleId="Titre1Car">
    <w:name w:val="Titre 1 Car"/>
    <w:basedOn w:val="Policepardfaut"/>
    <w:link w:val="Titre1"/>
    <w:uiPriority w:val="9"/>
    <w:rsid w:val="00012DDC"/>
    <w:rPr>
      <w:rFonts w:asciiTheme="majorHAnsi" w:eastAsiaTheme="majorEastAsia" w:hAnsiTheme="majorHAnsi" w:cstheme="majorBidi"/>
      <w:color w:val="2F5496" w:themeColor="accent1" w:themeShade="BF"/>
      <w:sz w:val="32"/>
      <w:szCs w:val="32"/>
    </w:rPr>
  </w:style>
  <w:style w:type="paragraph" w:styleId="Pieddepage">
    <w:name w:val="footer"/>
    <w:basedOn w:val="Normal"/>
    <w:link w:val="PieddepageCar"/>
    <w:uiPriority w:val="99"/>
    <w:unhideWhenUsed/>
    <w:rsid w:val="00AC52C6"/>
    <w:pPr>
      <w:tabs>
        <w:tab w:val="center" w:pos="4536"/>
        <w:tab w:val="right" w:pos="9072"/>
      </w:tabs>
    </w:pPr>
  </w:style>
  <w:style w:type="character" w:customStyle="1" w:styleId="PieddepageCar">
    <w:name w:val="Pied de page Car"/>
    <w:basedOn w:val="Policepardfaut"/>
    <w:link w:val="Pieddepage"/>
    <w:uiPriority w:val="99"/>
    <w:rsid w:val="00AC52C6"/>
  </w:style>
  <w:style w:type="character" w:styleId="Numrodepage">
    <w:name w:val="page number"/>
    <w:basedOn w:val="Policepardfaut"/>
    <w:uiPriority w:val="99"/>
    <w:semiHidden/>
    <w:unhideWhenUsed/>
    <w:rsid w:val="00AC52C6"/>
  </w:style>
  <w:style w:type="paragraph" w:styleId="Paragraphedeliste">
    <w:name w:val="List Paragraph"/>
    <w:basedOn w:val="Normal"/>
    <w:uiPriority w:val="34"/>
    <w:qFormat/>
    <w:rsid w:val="00132502"/>
    <w:pPr>
      <w:ind w:left="720"/>
      <w:contextualSpacing/>
    </w:pPr>
  </w:style>
  <w:style w:type="paragraph" w:styleId="NormalWeb">
    <w:name w:val="Normal (Web)"/>
    <w:basedOn w:val="Normal"/>
    <w:uiPriority w:val="99"/>
    <w:semiHidden/>
    <w:unhideWhenUsed/>
    <w:rsid w:val="00CA3728"/>
  </w:style>
  <w:style w:type="character" w:styleId="Lienhypertexte">
    <w:name w:val="Hyperlink"/>
    <w:basedOn w:val="Policepardfaut"/>
    <w:uiPriority w:val="99"/>
    <w:unhideWhenUsed/>
    <w:rsid w:val="00870B23"/>
    <w:rPr>
      <w:color w:val="0563C1" w:themeColor="hyperlink"/>
      <w:u w:val="single"/>
    </w:rPr>
  </w:style>
  <w:style w:type="character" w:customStyle="1" w:styleId="Titre3Car">
    <w:name w:val="Titre 3 Car"/>
    <w:basedOn w:val="Policepardfaut"/>
    <w:link w:val="Titre3"/>
    <w:uiPriority w:val="9"/>
    <w:semiHidden/>
    <w:rsid w:val="00F92600"/>
    <w:rPr>
      <w:rFonts w:asciiTheme="majorHAnsi" w:eastAsiaTheme="majorEastAsia" w:hAnsiTheme="majorHAnsi" w:cstheme="majorBidi"/>
      <w:color w:val="1F3763" w:themeColor="accent1" w:themeShade="7F"/>
      <w:lang w:eastAsia="fr-FR"/>
    </w:rPr>
  </w:style>
  <w:style w:type="paragraph" w:customStyle="1" w:styleId="p2">
    <w:name w:val="p2"/>
    <w:basedOn w:val="Normal"/>
    <w:rsid w:val="00240BAF"/>
    <w:rPr>
      <w:rFonts w:ascii="Helvetica" w:hAnsi="Helvetica"/>
      <w:sz w:val="19"/>
      <w:szCs w:val="19"/>
    </w:rPr>
  </w:style>
  <w:style w:type="character" w:customStyle="1" w:styleId="s1">
    <w:name w:val="s1"/>
    <w:basedOn w:val="Policepardfaut"/>
    <w:rsid w:val="00240BAF"/>
    <w:rPr>
      <w:rFonts w:ascii="Helvetica" w:hAnsi="Helvetica" w:hint="default"/>
      <w:sz w:val="19"/>
      <w:szCs w:val="19"/>
    </w:rPr>
  </w:style>
  <w:style w:type="character" w:customStyle="1" w:styleId="Titre2Car">
    <w:name w:val="Titre 2 Car"/>
    <w:basedOn w:val="Policepardfaut"/>
    <w:link w:val="Titre2"/>
    <w:uiPriority w:val="9"/>
    <w:semiHidden/>
    <w:rsid w:val="005D44CC"/>
    <w:rPr>
      <w:rFonts w:asciiTheme="majorHAnsi" w:eastAsiaTheme="majorEastAsia" w:hAnsiTheme="majorHAnsi" w:cstheme="majorBidi"/>
      <w:color w:val="2F5496" w:themeColor="accent1" w:themeShade="BF"/>
      <w:sz w:val="26"/>
      <w:szCs w:val="26"/>
      <w:lang w:eastAsia="fr-FR"/>
    </w:rPr>
  </w:style>
  <w:style w:type="character" w:customStyle="1" w:styleId="italic">
    <w:name w:val="italic"/>
    <w:basedOn w:val="Policepardfaut"/>
    <w:rsid w:val="00F922F2"/>
  </w:style>
  <w:style w:type="character" w:customStyle="1" w:styleId="highlight">
    <w:name w:val="highlight"/>
    <w:basedOn w:val="Policepardfaut"/>
    <w:rsid w:val="00711786"/>
  </w:style>
  <w:style w:type="character" w:customStyle="1" w:styleId="outputecliaff">
    <w:name w:val="outputecliaff"/>
    <w:basedOn w:val="Policepardfaut"/>
    <w:rsid w:val="000C3D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0F"/>
    <w:rPr>
      <w:rFonts w:ascii="Times New Roman" w:hAnsi="Times New Roman" w:cs="Times New Roman"/>
      <w:lang w:eastAsia="fr-FR"/>
    </w:rPr>
  </w:style>
  <w:style w:type="paragraph" w:styleId="Titre1">
    <w:name w:val="heading 1"/>
    <w:basedOn w:val="Normal"/>
    <w:next w:val="Normal"/>
    <w:link w:val="Titre1Car"/>
    <w:uiPriority w:val="9"/>
    <w:qFormat/>
    <w:rsid w:val="00012D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D44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92600"/>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 Car Car Car,Note de bas de page Car Car,Footnote Text Char,Footnote Text Char Char Char Char,Footnote Text Char Char Char Char Char Char Char Char,Footnote Text Char Char Char Char Char Char1,Char Char Char Char"/>
    <w:basedOn w:val="Normal"/>
    <w:link w:val="NotedebasdepageCar"/>
    <w:uiPriority w:val="99"/>
    <w:unhideWhenUsed/>
    <w:rsid w:val="001E6D2B"/>
    <w:pPr>
      <w:jc w:val="both"/>
    </w:pPr>
    <w:rPr>
      <w:sz w:val="20"/>
    </w:rPr>
  </w:style>
  <w:style w:type="character" w:customStyle="1" w:styleId="NotedebasdepageCar">
    <w:name w:val="Note de bas de page Car"/>
    <w:aliases w:val="Note de bas de page Car Car Car Car,Note de bas de page Car Car Car1,Footnote Text Char Car,Footnote Text Char Char Char Char Car,Footnote Text Char Char Char Char Char Char Char Char Car,Char Char Char Char Car"/>
    <w:basedOn w:val="Policepardfaut"/>
    <w:link w:val="Notedebasdepage"/>
    <w:uiPriority w:val="99"/>
    <w:rsid w:val="001E6D2B"/>
    <w:rPr>
      <w:rFonts w:ascii="Times New Roman" w:hAnsi="Times New Roman"/>
      <w:sz w:val="20"/>
    </w:rPr>
  </w:style>
  <w:style w:type="character" w:styleId="Marquenotebasdepage">
    <w:name w:val="footnote reference"/>
    <w:aliases w:val="note de bas de p."/>
    <w:basedOn w:val="Policepardfaut"/>
    <w:uiPriority w:val="99"/>
    <w:unhideWhenUsed/>
    <w:rsid w:val="006F4105"/>
    <w:rPr>
      <w:vertAlign w:val="superscript"/>
    </w:rPr>
  </w:style>
  <w:style w:type="paragraph" w:customStyle="1" w:styleId="NBP">
    <w:name w:val="NBP"/>
    <w:basedOn w:val="Notedebasdepage"/>
    <w:next w:val="Texte"/>
    <w:rsid w:val="009168FC"/>
    <w:rPr>
      <w:szCs w:val="20"/>
    </w:rPr>
  </w:style>
  <w:style w:type="paragraph" w:customStyle="1" w:styleId="Texte">
    <w:name w:val="Texte"/>
    <w:basedOn w:val="Normal"/>
    <w:link w:val="TexteCar"/>
    <w:qFormat/>
    <w:rsid w:val="00B254F3"/>
    <w:pPr>
      <w:spacing w:before="120" w:after="120" w:line="360" w:lineRule="auto"/>
      <w:ind w:firstLine="720"/>
      <w:jc w:val="both"/>
    </w:pPr>
    <w:rPr>
      <w:rFonts w:eastAsia="Times New Roman"/>
      <w:bCs/>
    </w:rPr>
  </w:style>
  <w:style w:type="character" w:customStyle="1" w:styleId="TexteCar">
    <w:name w:val="Texte Car"/>
    <w:link w:val="Texte"/>
    <w:rsid w:val="00B254F3"/>
    <w:rPr>
      <w:rFonts w:ascii="Times New Roman" w:eastAsia="Times New Roman" w:hAnsi="Times New Roman" w:cs="Times New Roman"/>
      <w:bCs/>
      <w:lang w:eastAsia="fr-FR"/>
    </w:rPr>
  </w:style>
  <w:style w:type="paragraph" w:customStyle="1" w:styleId="p1">
    <w:name w:val="p1"/>
    <w:basedOn w:val="Normal"/>
    <w:rsid w:val="00ED7173"/>
    <w:rPr>
      <w:rFonts w:ascii="Helvetica Neue" w:hAnsi="Helvetica Neue"/>
      <w:color w:val="454545"/>
      <w:sz w:val="18"/>
      <w:szCs w:val="18"/>
    </w:rPr>
  </w:style>
  <w:style w:type="character" w:customStyle="1" w:styleId="apple-converted-space">
    <w:name w:val="apple-converted-space"/>
    <w:basedOn w:val="Policepardfaut"/>
    <w:rsid w:val="00ED7173"/>
  </w:style>
  <w:style w:type="paragraph" w:styleId="Notedefin">
    <w:name w:val="endnote text"/>
    <w:basedOn w:val="Normal"/>
    <w:link w:val="NotedefinCar"/>
    <w:uiPriority w:val="99"/>
    <w:unhideWhenUsed/>
    <w:rsid w:val="004F0EA0"/>
  </w:style>
  <w:style w:type="character" w:customStyle="1" w:styleId="NotedefinCar">
    <w:name w:val="Note de fin Car"/>
    <w:basedOn w:val="Policepardfaut"/>
    <w:link w:val="Notedefin"/>
    <w:uiPriority w:val="99"/>
    <w:rsid w:val="004F0EA0"/>
  </w:style>
  <w:style w:type="character" w:styleId="Marquedenotedefin">
    <w:name w:val="endnote reference"/>
    <w:basedOn w:val="Policepardfaut"/>
    <w:uiPriority w:val="99"/>
    <w:unhideWhenUsed/>
    <w:rsid w:val="004F0EA0"/>
    <w:rPr>
      <w:vertAlign w:val="superscript"/>
    </w:rPr>
  </w:style>
  <w:style w:type="character" w:customStyle="1" w:styleId="Titre1Car">
    <w:name w:val="Titre 1 Car"/>
    <w:basedOn w:val="Policepardfaut"/>
    <w:link w:val="Titre1"/>
    <w:uiPriority w:val="9"/>
    <w:rsid w:val="00012DDC"/>
    <w:rPr>
      <w:rFonts w:asciiTheme="majorHAnsi" w:eastAsiaTheme="majorEastAsia" w:hAnsiTheme="majorHAnsi" w:cstheme="majorBidi"/>
      <w:color w:val="2F5496" w:themeColor="accent1" w:themeShade="BF"/>
      <w:sz w:val="32"/>
      <w:szCs w:val="32"/>
    </w:rPr>
  </w:style>
  <w:style w:type="paragraph" w:styleId="Pieddepage">
    <w:name w:val="footer"/>
    <w:basedOn w:val="Normal"/>
    <w:link w:val="PieddepageCar"/>
    <w:uiPriority w:val="99"/>
    <w:unhideWhenUsed/>
    <w:rsid w:val="00AC52C6"/>
    <w:pPr>
      <w:tabs>
        <w:tab w:val="center" w:pos="4536"/>
        <w:tab w:val="right" w:pos="9072"/>
      </w:tabs>
    </w:pPr>
  </w:style>
  <w:style w:type="character" w:customStyle="1" w:styleId="PieddepageCar">
    <w:name w:val="Pied de page Car"/>
    <w:basedOn w:val="Policepardfaut"/>
    <w:link w:val="Pieddepage"/>
    <w:uiPriority w:val="99"/>
    <w:rsid w:val="00AC52C6"/>
  </w:style>
  <w:style w:type="character" w:styleId="Numrodepage">
    <w:name w:val="page number"/>
    <w:basedOn w:val="Policepardfaut"/>
    <w:uiPriority w:val="99"/>
    <w:semiHidden/>
    <w:unhideWhenUsed/>
    <w:rsid w:val="00AC52C6"/>
  </w:style>
  <w:style w:type="paragraph" w:styleId="Paragraphedeliste">
    <w:name w:val="List Paragraph"/>
    <w:basedOn w:val="Normal"/>
    <w:uiPriority w:val="34"/>
    <w:qFormat/>
    <w:rsid w:val="00132502"/>
    <w:pPr>
      <w:ind w:left="720"/>
      <w:contextualSpacing/>
    </w:pPr>
  </w:style>
  <w:style w:type="paragraph" w:styleId="NormalWeb">
    <w:name w:val="Normal (Web)"/>
    <w:basedOn w:val="Normal"/>
    <w:uiPriority w:val="99"/>
    <w:semiHidden/>
    <w:unhideWhenUsed/>
    <w:rsid w:val="00CA3728"/>
  </w:style>
  <w:style w:type="character" w:styleId="Lienhypertexte">
    <w:name w:val="Hyperlink"/>
    <w:basedOn w:val="Policepardfaut"/>
    <w:uiPriority w:val="99"/>
    <w:unhideWhenUsed/>
    <w:rsid w:val="00870B23"/>
    <w:rPr>
      <w:color w:val="0563C1" w:themeColor="hyperlink"/>
      <w:u w:val="single"/>
    </w:rPr>
  </w:style>
  <w:style w:type="character" w:customStyle="1" w:styleId="Titre3Car">
    <w:name w:val="Titre 3 Car"/>
    <w:basedOn w:val="Policepardfaut"/>
    <w:link w:val="Titre3"/>
    <w:uiPriority w:val="9"/>
    <w:semiHidden/>
    <w:rsid w:val="00F92600"/>
    <w:rPr>
      <w:rFonts w:asciiTheme="majorHAnsi" w:eastAsiaTheme="majorEastAsia" w:hAnsiTheme="majorHAnsi" w:cstheme="majorBidi"/>
      <w:color w:val="1F3763" w:themeColor="accent1" w:themeShade="7F"/>
      <w:lang w:eastAsia="fr-FR"/>
    </w:rPr>
  </w:style>
  <w:style w:type="paragraph" w:customStyle="1" w:styleId="p2">
    <w:name w:val="p2"/>
    <w:basedOn w:val="Normal"/>
    <w:rsid w:val="00240BAF"/>
    <w:rPr>
      <w:rFonts w:ascii="Helvetica" w:hAnsi="Helvetica"/>
      <w:sz w:val="19"/>
      <w:szCs w:val="19"/>
    </w:rPr>
  </w:style>
  <w:style w:type="character" w:customStyle="1" w:styleId="s1">
    <w:name w:val="s1"/>
    <w:basedOn w:val="Policepardfaut"/>
    <w:rsid w:val="00240BAF"/>
    <w:rPr>
      <w:rFonts w:ascii="Helvetica" w:hAnsi="Helvetica" w:hint="default"/>
      <w:sz w:val="19"/>
      <w:szCs w:val="19"/>
    </w:rPr>
  </w:style>
  <w:style w:type="character" w:customStyle="1" w:styleId="Titre2Car">
    <w:name w:val="Titre 2 Car"/>
    <w:basedOn w:val="Policepardfaut"/>
    <w:link w:val="Titre2"/>
    <w:uiPriority w:val="9"/>
    <w:semiHidden/>
    <w:rsid w:val="005D44CC"/>
    <w:rPr>
      <w:rFonts w:asciiTheme="majorHAnsi" w:eastAsiaTheme="majorEastAsia" w:hAnsiTheme="majorHAnsi" w:cstheme="majorBidi"/>
      <w:color w:val="2F5496" w:themeColor="accent1" w:themeShade="BF"/>
      <w:sz w:val="26"/>
      <w:szCs w:val="26"/>
      <w:lang w:eastAsia="fr-FR"/>
    </w:rPr>
  </w:style>
  <w:style w:type="character" w:customStyle="1" w:styleId="italic">
    <w:name w:val="italic"/>
    <w:basedOn w:val="Policepardfaut"/>
    <w:rsid w:val="00F922F2"/>
  </w:style>
  <w:style w:type="character" w:customStyle="1" w:styleId="highlight">
    <w:name w:val="highlight"/>
    <w:basedOn w:val="Policepardfaut"/>
    <w:rsid w:val="00711786"/>
  </w:style>
  <w:style w:type="character" w:customStyle="1" w:styleId="outputecliaff">
    <w:name w:val="outputecliaff"/>
    <w:basedOn w:val="Policepardfaut"/>
    <w:rsid w:val="000C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689">
      <w:bodyDiv w:val="1"/>
      <w:marLeft w:val="0"/>
      <w:marRight w:val="0"/>
      <w:marTop w:val="0"/>
      <w:marBottom w:val="0"/>
      <w:divBdr>
        <w:top w:val="none" w:sz="0" w:space="0" w:color="auto"/>
        <w:left w:val="none" w:sz="0" w:space="0" w:color="auto"/>
        <w:bottom w:val="none" w:sz="0" w:space="0" w:color="auto"/>
        <w:right w:val="none" w:sz="0" w:space="0" w:color="auto"/>
      </w:divBdr>
    </w:div>
    <w:div w:id="46077308">
      <w:bodyDiv w:val="1"/>
      <w:marLeft w:val="0"/>
      <w:marRight w:val="0"/>
      <w:marTop w:val="0"/>
      <w:marBottom w:val="0"/>
      <w:divBdr>
        <w:top w:val="none" w:sz="0" w:space="0" w:color="auto"/>
        <w:left w:val="none" w:sz="0" w:space="0" w:color="auto"/>
        <w:bottom w:val="none" w:sz="0" w:space="0" w:color="auto"/>
        <w:right w:val="none" w:sz="0" w:space="0" w:color="auto"/>
      </w:divBdr>
    </w:div>
    <w:div w:id="54621825">
      <w:bodyDiv w:val="1"/>
      <w:marLeft w:val="0"/>
      <w:marRight w:val="0"/>
      <w:marTop w:val="0"/>
      <w:marBottom w:val="0"/>
      <w:divBdr>
        <w:top w:val="none" w:sz="0" w:space="0" w:color="auto"/>
        <w:left w:val="none" w:sz="0" w:space="0" w:color="auto"/>
        <w:bottom w:val="none" w:sz="0" w:space="0" w:color="auto"/>
        <w:right w:val="none" w:sz="0" w:space="0" w:color="auto"/>
      </w:divBdr>
    </w:div>
    <w:div w:id="83965735">
      <w:bodyDiv w:val="1"/>
      <w:marLeft w:val="0"/>
      <w:marRight w:val="0"/>
      <w:marTop w:val="0"/>
      <w:marBottom w:val="0"/>
      <w:divBdr>
        <w:top w:val="none" w:sz="0" w:space="0" w:color="auto"/>
        <w:left w:val="none" w:sz="0" w:space="0" w:color="auto"/>
        <w:bottom w:val="none" w:sz="0" w:space="0" w:color="auto"/>
        <w:right w:val="none" w:sz="0" w:space="0" w:color="auto"/>
      </w:divBdr>
      <w:divsChild>
        <w:div w:id="2039811964">
          <w:marLeft w:val="0"/>
          <w:marRight w:val="0"/>
          <w:marTop w:val="0"/>
          <w:marBottom w:val="0"/>
          <w:divBdr>
            <w:top w:val="none" w:sz="0" w:space="0" w:color="auto"/>
            <w:left w:val="none" w:sz="0" w:space="0" w:color="auto"/>
            <w:bottom w:val="none" w:sz="0" w:space="0" w:color="auto"/>
            <w:right w:val="none" w:sz="0" w:space="0" w:color="auto"/>
          </w:divBdr>
          <w:divsChild>
            <w:div w:id="1917738220">
              <w:marLeft w:val="0"/>
              <w:marRight w:val="0"/>
              <w:marTop w:val="0"/>
              <w:marBottom w:val="0"/>
              <w:divBdr>
                <w:top w:val="none" w:sz="0" w:space="0" w:color="auto"/>
                <w:left w:val="none" w:sz="0" w:space="0" w:color="auto"/>
                <w:bottom w:val="none" w:sz="0" w:space="0" w:color="auto"/>
                <w:right w:val="none" w:sz="0" w:space="0" w:color="auto"/>
              </w:divBdr>
              <w:divsChild>
                <w:div w:id="3271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5413">
      <w:bodyDiv w:val="1"/>
      <w:marLeft w:val="0"/>
      <w:marRight w:val="0"/>
      <w:marTop w:val="0"/>
      <w:marBottom w:val="0"/>
      <w:divBdr>
        <w:top w:val="none" w:sz="0" w:space="0" w:color="auto"/>
        <w:left w:val="none" w:sz="0" w:space="0" w:color="auto"/>
        <w:bottom w:val="none" w:sz="0" w:space="0" w:color="auto"/>
        <w:right w:val="none" w:sz="0" w:space="0" w:color="auto"/>
      </w:divBdr>
    </w:div>
    <w:div w:id="107162080">
      <w:bodyDiv w:val="1"/>
      <w:marLeft w:val="0"/>
      <w:marRight w:val="0"/>
      <w:marTop w:val="0"/>
      <w:marBottom w:val="0"/>
      <w:divBdr>
        <w:top w:val="none" w:sz="0" w:space="0" w:color="auto"/>
        <w:left w:val="none" w:sz="0" w:space="0" w:color="auto"/>
        <w:bottom w:val="none" w:sz="0" w:space="0" w:color="auto"/>
        <w:right w:val="none" w:sz="0" w:space="0" w:color="auto"/>
      </w:divBdr>
    </w:div>
    <w:div w:id="108088124">
      <w:bodyDiv w:val="1"/>
      <w:marLeft w:val="0"/>
      <w:marRight w:val="0"/>
      <w:marTop w:val="0"/>
      <w:marBottom w:val="0"/>
      <w:divBdr>
        <w:top w:val="none" w:sz="0" w:space="0" w:color="auto"/>
        <w:left w:val="none" w:sz="0" w:space="0" w:color="auto"/>
        <w:bottom w:val="none" w:sz="0" w:space="0" w:color="auto"/>
        <w:right w:val="none" w:sz="0" w:space="0" w:color="auto"/>
      </w:divBdr>
    </w:div>
    <w:div w:id="117653813">
      <w:bodyDiv w:val="1"/>
      <w:marLeft w:val="0"/>
      <w:marRight w:val="0"/>
      <w:marTop w:val="0"/>
      <w:marBottom w:val="0"/>
      <w:divBdr>
        <w:top w:val="none" w:sz="0" w:space="0" w:color="auto"/>
        <w:left w:val="none" w:sz="0" w:space="0" w:color="auto"/>
        <w:bottom w:val="none" w:sz="0" w:space="0" w:color="auto"/>
        <w:right w:val="none" w:sz="0" w:space="0" w:color="auto"/>
      </w:divBdr>
    </w:div>
    <w:div w:id="138235699">
      <w:bodyDiv w:val="1"/>
      <w:marLeft w:val="0"/>
      <w:marRight w:val="0"/>
      <w:marTop w:val="0"/>
      <w:marBottom w:val="0"/>
      <w:divBdr>
        <w:top w:val="none" w:sz="0" w:space="0" w:color="auto"/>
        <w:left w:val="none" w:sz="0" w:space="0" w:color="auto"/>
        <w:bottom w:val="none" w:sz="0" w:space="0" w:color="auto"/>
        <w:right w:val="none" w:sz="0" w:space="0" w:color="auto"/>
      </w:divBdr>
    </w:div>
    <w:div w:id="144979231">
      <w:bodyDiv w:val="1"/>
      <w:marLeft w:val="0"/>
      <w:marRight w:val="0"/>
      <w:marTop w:val="0"/>
      <w:marBottom w:val="0"/>
      <w:divBdr>
        <w:top w:val="none" w:sz="0" w:space="0" w:color="auto"/>
        <w:left w:val="none" w:sz="0" w:space="0" w:color="auto"/>
        <w:bottom w:val="none" w:sz="0" w:space="0" w:color="auto"/>
        <w:right w:val="none" w:sz="0" w:space="0" w:color="auto"/>
      </w:divBdr>
    </w:div>
    <w:div w:id="159005593">
      <w:bodyDiv w:val="1"/>
      <w:marLeft w:val="0"/>
      <w:marRight w:val="0"/>
      <w:marTop w:val="0"/>
      <w:marBottom w:val="0"/>
      <w:divBdr>
        <w:top w:val="none" w:sz="0" w:space="0" w:color="auto"/>
        <w:left w:val="none" w:sz="0" w:space="0" w:color="auto"/>
        <w:bottom w:val="none" w:sz="0" w:space="0" w:color="auto"/>
        <w:right w:val="none" w:sz="0" w:space="0" w:color="auto"/>
      </w:divBdr>
      <w:divsChild>
        <w:div w:id="1091850396">
          <w:marLeft w:val="0"/>
          <w:marRight w:val="0"/>
          <w:marTop w:val="0"/>
          <w:marBottom w:val="0"/>
          <w:divBdr>
            <w:top w:val="none" w:sz="0" w:space="0" w:color="auto"/>
            <w:left w:val="none" w:sz="0" w:space="0" w:color="auto"/>
            <w:bottom w:val="none" w:sz="0" w:space="0" w:color="auto"/>
            <w:right w:val="none" w:sz="0" w:space="0" w:color="auto"/>
          </w:divBdr>
          <w:divsChild>
            <w:div w:id="6437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6606">
      <w:bodyDiv w:val="1"/>
      <w:marLeft w:val="0"/>
      <w:marRight w:val="0"/>
      <w:marTop w:val="0"/>
      <w:marBottom w:val="0"/>
      <w:divBdr>
        <w:top w:val="none" w:sz="0" w:space="0" w:color="auto"/>
        <w:left w:val="none" w:sz="0" w:space="0" w:color="auto"/>
        <w:bottom w:val="none" w:sz="0" w:space="0" w:color="auto"/>
        <w:right w:val="none" w:sz="0" w:space="0" w:color="auto"/>
      </w:divBdr>
    </w:div>
    <w:div w:id="188421094">
      <w:bodyDiv w:val="1"/>
      <w:marLeft w:val="0"/>
      <w:marRight w:val="0"/>
      <w:marTop w:val="0"/>
      <w:marBottom w:val="0"/>
      <w:divBdr>
        <w:top w:val="none" w:sz="0" w:space="0" w:color="auto"/>
        <w:left w:val="none" w:sz="0" w:space="0" w:color="auto"/>
        <w:bottom w:val="none" w:sz="0" w:space="0" w:color="auto"/>
        <w:right w:val="none" w:sz="0" w:space="0" w:color="auto"/>
      </w:divBdr>
      <w:divsChild>
        <w:div w:id="1612200283">
          <w:marLeft w:val="0"/>
          <w:marRight w:val="0"/>
          <w:marTop w:val="0"/>
          <w:marBottom w:val="0"/>
          <w:divBdr>
            <w:top w:val="none" w:sz="0" w:space="0" w:color="auto"/>
            <w:left w:val="none" w:sz="0" w:space="0" w:color="auto"/>
            <w:bottom w:val="none" w:sz="0" w:space="0" w:color="auto"/>
            <w:right w:val="none" w:sz="0" w:space="0" w:color="auto"/>
          </w:divBdr>
        </w:div>
        <w:div w:id="2009551752">
          <w:marLeft w:val="0"/>
          <w:marRight w:val="0"/>
          <w:marTop w:val="0"/>
          <w:marBottom w:val="0"/>
          <w:divBdr>
            <w:top w:val="none" w:sz="0" w:space="0" w:color="auto"/>
            <w:left w:val="none" w:sz="0" w:space="0" w:color="auto"/>
            <w:bottom w:val="none" w:sz="0" w:space="0" w:color="auto"/>
            <w:right w:val="none" w:sz="0" w:space="0" w:color="auto"/>
          </w:divBdr>
        </w:div>
        <w:div w:id="582227570">
          <w:marLeft w:val="0"/>
          <w:marRight w:val="0"/>
          <w:marTop w:val="0"/>
          <w:marBottom w:val="0"/>
          <w:divBdr>
            <w:top w:val="none" w:sz="0" w:space="0" w:color="auto"/>
            <w:left w:val="none" w:sz="0" w:space="0" w:color="auto"/>
            <w:bottom w:val="none" w:sz="0" w:space="0" w:color="auto"/>
            <w:right w:val="none" w:sz="0" w:space="0" w:color="auto"/>
          </w:divBdr>
        </w:div>
        <w:div w:id="412822572">
          <w:marLeft w:val="0"/>
          <w:marRight w:val="0"/>
          <w:marTop w:val="0"/>
          <w:marBottom w:val="0"/>
          <w:divBdr>
            <w:top w:val="none" w:sz="0" w:space="0" w:color="auto"/>
            <w:left w:val="none" w:sz="0" w:space="0" w:color="auto"/>
            <w:bottom w:val="none" w:sz="0" w:space="0" w:color="auto"/>
            <w:right w:val="none" w:sz="0" w:space="0" w:color="auto"/>
          </w:divBdr>
        </w:div>
        <w:div w:id="883324356">
          <w:marLeft w:val="0"/>
          <w:marRight w:val="0"/>
          <w:marTop w:val="0"/>
          <w:marBottom w:val="0"/>
          <w:divBdr>
            <w:top w:val="none" w:sz="0" w:space="0" w:color="auto"/>
            <w:left w:val="none" w:sz="0" w:space="0" w:color="auto"/>
            <w:bottom w:val="none" w:sz="0" w:space="0" w:color="auto"/>
            <w:right w:val="none" w:sz="0" w:space="0" w:color="auto"/>
          </w:divBdr>
        </w:div>
        <w:div w:id="145170619">
          <w:marLeft w:val="0"/>
          <w:marRight w:val="0"/>
          <w:marTop w:val="0"/>
          <w:marBottom w:val="0"/>
          <w:divBdr>
            <w:top w:val="none" w:sz="0" w:space="0" w:color="auto"/>
            <w:left w:val="none" w:sz="0" w:space="0" w:color="auto"/>
            <w:bottom w:val="none" w:sz="0" w:space="0" w:color="auto"/>
            <w:right w:val="none" w:sz="0" w:space="0" w:color="auto"/>
          </w:divBdr>
        </w:div>
        <w:div w:id="1195727249">
          <w:marLeft w:val="0"/>
          <w:marRight w:val="0"/>
          <w:marTop w:val="0"/>
          <w:marBottom w:val="0"/>
          <w:divBdr>
            <w:top w:val="none" w:sz="0" w:space="0" w:color="auto"/>
            <w:left w:val="none" w:sz="0" w:space="0" w:color="auto"/>
            <w:bottom w:val="none" w:sz="0" w:space="0" w:color="auto"/>
            <w:right w:val="none" w:sz="0" w:space="0" w:color="auto"/>
          </w:divBdr>
        </w:div>
        <w:div w:id="769204507">
          <w:marLeft w:val="0"/>
          <w:marRight w:val="0"/>
          <w:marTop w:val="0"/>
          <w:marBottom w:val="0"/>
          <w:divBdr>
            <w:top w:val="none" w:sz="0" w:space="0" w:color="auto"/>
            <w:left w:val="none" w:sz="0" w:space="0" w:color="auto"/>
            <w:bottom w:val="none" w:sz="0" w:space="0" w:color="auto"/>
            <w:right w:val="none" w:sz="0" w:space="0" w:color="auto"/>
          </w:divBdr>
        </w:div>
      </w:divsChild>
    </w:div>
    <w:div w:id="188642136">
      <w:bodyDiv w:val="1"/>
      <w:marLeft w:val="0"/>
      <w:marRight w:val="0"/>
      <w:marTop w:val="0"/>
      <w:marBottom w:val="0"/>
      <w:divBdr>
        <w:top w:val="none" w:sz="0" w:space="0" w:color="auto"/>
        <w:left w:val="none" w:sz="0" w:space="0" w:color="auto"/>
        <w:bottom w:val="none" w:sz="0" w:space="0" w:color="auto"/>
        <w:right w:val="none" w:sz="0" w:space="0" w:color="auto"/>
      </w:divBdr>
    </w:div>
    <w:div w:id="214657597">
      <w:bodyDiv w:val="1"/>
      <w:marLeft w:val="0"/>
      <w:marRight w:val="0"/>
      <w:marTop w:val="0"/>
      <w:marBottom w:val="0"/>
      <w:divBdr>
        <w:top w:val="none" w:sz="0" w:space="0" w:color="auto"/>
        <w:left w:val="none" w:sz="0" w:space="0" w:color="auto"/>
        <w:bottom w:val="none" w:sz="0" w:space="0" w:color="auto"/>
        <w:right w:val="none" w:sz="0" w:space="0" w:color="auto"/>
      </w:divBdr>
    </w:div>
    <w:div w:id="219051824">
      <w:bodyDiv w:val="1"/>
      <w:marLeft w:val="0"/>
      <w:marRight w:val="0"/>
      <w:marTop w:val="0"/>
      <w:marBottom w:val="0"/>
      <w:divBdr>
        <w:top w:val="none" w:sz="0" w:space="0" w:color="auto"/>
        <w:left w:val="none" w:sz="0" w:space="0" w:color="auto"/>
        <w:bottom w:val="none" w:sz="0" w:space="0" w:color="auto"/>
        <w:right w:val="none" w:sz="0" w:space="0" w:color="auto"/>
      </w:divBdr>
      <w:divsChild>
        <w:div w:id="287203282">
          <w:marLeft w:val="0"/>
          <w:marRight w:val="0"/>
          <w:marTop w:val="0"/>
          <w:marBottom w:val="0"/>
          <w:divBdr>
            <w:top w:val="none" w:sz="0" w:space="0" w:color="auto"/>
            <w:left w:val="none" w:sz="0" w:space="0" w:color="auto"/>
            <w:bottom w:val="none" w:sz="0" w:space="0" w:color="auto"/>
            <w:right w:val="none" w:sz="0" w:space="0" w:color="auto"/>
          </w:divBdr>
        </w:div>
        <w:div w:id="620843201">
          <w:marLeft w:val="0"/>
          <w:marRight w:val="0"/>
          <w:marTop w:val="0"/>
          <w:marBottom w:val="0"/>
          <w:divBdr>
            <w:top w:val="none" w:sz="0" w:space="0" w:color="auto"/>
            <w:left w:val="none" w:sz="0" w:space="0" w:color="auto"/>
            <w:bottom w:val="none" w:sz="0" w:space="0" w:color="auto"/>
            <w:right w:val="none" w:sz="0" w:space="0" w:color="auto"/>
          </w:divBdr>
        </w:div>
      </w:divsChild>
    </w:div>
    <w:div w:id="224728612">
      <w:bodyDiv w:val="1"/>
      <w:marLeft w:val="0"/>
      <w:marRight w:val="0"/>
      <w:marTop w:val="0"/>
      <w:marBottom w:val="0"/>
      <w:divBdr>
        <w:top w:val="none" w:sz="0" w:space="0" w:color="auto"/>
        <w:left w:val="none" w:sz="0" w:space="0" w:color="auto"/>
        <w:bottom w:val="none" w:sz="0" w:space="0" w:color="auto"/>
        <w:right w:val="none" w:sz="0" w:space="0" w:color="auto"/>
      </w:divBdr>
    </w:div>
    <w:div w:id="230624966">
      <w:bodyDiv w:val="1"/>
      <w:marLeft w:val="0"/>
      <w:marRight w:val="0"/>
      <w:marTop w:val="0"/>
      <w:marBottom w:val="0"/>
      <w:divBdr>
        <w:top w:val="none" w:sz="0" w:space="0" w:color="auto"/>
        <w:left w:val="none" w:sz="0" w:space="0" w:color="auto"/>
        <w:bottom w:val="none" w:sz="0" w:space="0" w:color="auto"/>
        <w:right w:val="none" w:sz="0" w:space="0" w:color="auto"/>
      </w:divBdr>
    </w:div>
    <w:div w:id="238565788">
      <w:bodyDiv w:val="1"/>
      <w:marLeft w:val="0"/>
      <w:marRight w:val="0"/>
      <w:marTop w:val="0"/>
      <w:marBottom w:val="0"/>
      <w:divBdr>
        <w:top w:val="none" w:sz="0" w:space="0" w:color="auto"/>
        <w:left w:val="none" w:sz="0" w:space="0" w:color="auto"/>
        <w:bottom w:val="none" w:sz="0" w:space="0" w:color="auto"/>
        <w:right w:val="none" w:sz="0" w:space="0" w:color="auto"/>
      </w:divBdr>
    </w:div>
    <w:div w:id="270354850">
      <w:bodyDiv w:val="1"/>
      <w:marLeft w:val="0"/>
      <w:marRight w:val="0"/>
      <w:marTop w:val="0"/>
      <w:marBottom w:val="0"/>
      <w:divBdr>
        <w:top w:val="none" w:sz="0" w:space="0" w:color="auto"/>
        <w:left w:val="none" w:sz="0" w:space="0" w:color="auto"/>
        <w:bottom w:val="none" w:sz="0" w:space="0" w:color="auto"/>
        <w:right w:val="none" w:sz="0" w:space="0" w:color="auto"/>
      </w:divBdr>
    </w:div>
    <w:div w:id="295717828">
      <w:bodyDiv w:val="1"/>
      <w:marLeft w:val="0"/>
      <w:marRight w:val="0"/>
      <w:marTop w:val="0"/>
      <w:marBottom w:val="0"/>
      <w:divBdr>
        <w:top w:val="none" w:sz="0" w:space="0" w:color="auto"/>
        <w:left w:val="none" w:sz="0" w:space="0" w:color="auto"/>
        <w:bottom w:val="none" w:sz="0" w:space="0" w:color="auto"/>
        <w:right w:val="none" w:sz="0" w:space="0" w:color="auto"/>
      </w:divBdr>
    </w:div>
    <w:div w:id="304046561">
      <w:bodyDiv w:val="1"/>
      <w:marLeft w:val="0"/>
      <w:marRight w:val="0"/>
      <w:marTop w:val="0"/>
      <w:marBottom w:val="0"/>
      <w:divBdr>
        <w:top w:val="none" w:sz="0" w:space="0" w:color="auto"/>
        <w:left w:val="none" w:sz="0" w:space="0" w:color="auto"/>
        <w:bottom w:val="none" w:sz="0" w:space="0" w:color="auto"/>
        <w:right w:val="none" w:sz="0" w:space="0" w:color="auto"/>
      </w:divBdr>
    </w:div>
    <w:div w:id="304705129">
      <w:bodyDiv w:val="1"/>
      <w:marLeft w:val="0"/>
      <w:marRight w:val="0"/>
      <w:marTop w:val="0"/>
      <w:marBottom w:val="0"/>
      <w:divBdr>
        <w:top w:val="none" w:sz="0" w:space="0" w:color="auto"/>
        <w:left w:val="none" w:sz="0" w:space="0" w:color="auto"/>
        <w:bottom w:val="none" w:sz="0" w:space="0" w:color="auto"/>
        <w:right w:val="none" w:sz="0" w:space="0" w:color="auto"/>
      </w:divBdr>
      <w:divsChild>
        <w:div w:id="1834101326">
          <w:marLeft w:val="0"/>
          <w:marRight w:val="0"/>
          <w:marTop w:val="0"/>
          <w:marBottom w:val="0"/>
          <w:divBdr>
            <w:top w:val="none" w:sz="0" w:space="0" w:color="auto"/>
            <w:left w:val="none" w:sz="0" w:space="0" w:color="auto"/>
            <w:bottom w:val="none" w:sz="0" w:space="0" w:color="auto"/>
            <w:right w:val="none" w:sz="0" w:space="0" w:color="auto"/>
          </w:divBdr>
        </w:div>
        <w:div w:id="2028942572">
          <w:marLeft w:val="0"/>
          <w:marRight w:val="0"/>
          <w:marTop w:val="0"/>
          <w:marBottom w:val="0"/>
          <w:divBdr>
            <w:top w:val="none" w:sz="0" w:space="0" w:color="auto"/>
            <w:left w:val="none" w:sz="0" w:space="0" w:color="auto"/>
            <w:bottom w:val="none" w:sz="0" w:space="0" w:color="auto"/>
            <w:right w:val="none" w:sz="0" w:space="0" w:color="auto"/>
          </w:divBdr>
        </w:div>
        <w:div w:id="1535845083">
          <w:marLeft w:val="0"/>
          <w:marRight w:val="0"/>
          <w:marTop w:val="0"/>
          <w:marBottom w:val="0"/>
          <w:divBdr>
            <w:top w:val="none" w:sz="0" w:space="0" w:color="auto"/>
            <w:left w:val="none" w:sz="0" w:space="0" w:color="auto"/>
            <w:bottom w:val="none" w:sz="0" w:space="0" w:color="auto"/>
            <w:right w:val="none" w:sz="0" w:space="0" w:color="auto"/>
          </w:divBdr>
        </w:div>
      </w:divsChild>
    </w:div>
    <w:div w:id="318730283">
      <w:bodyDiv w:val="1"/>
      <w:marLeft w:val="0"/>
      <w:marRight w:val="0"/>
      <w:marTop w:val="0"/>
      <w:marBottom w:val="0"/>
      <w:divBdr>
        <w:top w:val="none" w:sz="0" w:space="0" w:color="auto"/>
        <w:left w:val="none" w:sz="0" w:space="0" w:color="auto"/>
        <w:bottom w:val="none" w:sz="0" w:space="0" w:color="auto"/>
        <w:right w:val="none" w:sz="0" w:space="0" w:color="auto"/>
      </w:divBdr>
    </w:div>
    <w:div w:id="344212884">
      <w:bodyDiv w:val="1"/>
      <w:marLeft w:val="0"/>
      <w:marRight w:val="0"/>
      <w:marTop w:val="0"/>
      <w:marBottom w:val="0"/>
      <w:divBdr>
        <w:top w:val="none" w:sz="0" w:space="0" w:color="auto"/>
        <w:left w:val="none" w:sz="0" w:space="0" w:color="auto"/>
        <w:bottom w:val="none" w:sz="0" w:space="0" w:color="auto"/>
        <w:right w:val="none" w:sz="0" w:space="0" w:color="auto"/>
      </w:divBdr>
    </w:div>
    <w:div w:id="347417319">
      <w:bodyDiv w:val="1"/>
      <w:marLeft w:val="0"/>
      <w:marRight w:val="0"/>
      <w:marTop w:val="0"/>
      <w:marBottom w:val="0"/>
      <w:divBdr>
        <w:top w:val="none" w:sz="0" w:space="0" w:color="auto"/>
        <w:left w:val="none" w:sz="0" w:space="0" w:color="auto"/>
        <w:bottom w:val="none" w:sz="0" w:space="0" w:color="auto"/>
        <w:right w:val="none" w:sz="0" w:space="0" w:color="auto"/>
      </w:divBdr>
    </w:div>
    <w:div w:id="355473017">
      <w:bodyDiv w:val="1"/>
      <w:marLeft w:val="0"/>
      <w:marRight w:val="0"/>
      <w:marTop w:val="0"/>
      <w:marBottom w:val="0"/>
      <w:divBdr>
        <w:top w:val="none" w:sz="0" w:space="0" w:color="auto"/>
        <w:left w:val="none" w:sz="0" w:space="0" w:color="auto"/>
        <w:bottom w:val="none" w:sz="0" w:space="0" w:color="auto"/>
        <w:right w:val="none" w:sz="0" w:space="0" w:color="auto"/>
      </w:divBdr>
    </w:div>
    <w:div w:id="368338838">
      <w:bodyDiv w:val="1"/>
      <w:marLeft w:val="0"/>
      <w:marRight w:val="0"/>
      <w:marTop w:val="0"/>
      <w:marBottom w:val="0"/>
      <w:divBdr>
        <w:top w:val="none" w:sz="0" w:space="0" w:color="auto"/>
        <w:left w:val="none" w:sz="0" w:space="0" w:color="auto"/>
        <w:bottom w:val="none" w:sz="0" w:space="0" w:color="auto"/>
        <w:right w:val="none" w:sz="0" w:space="0" w:color="auto"/>
      </w:divBdr>
    </w:div>
    <w:div w:id="370813305">
      <w:bodyDiv w:val="1"/>
      <w:marLeft w:val="0"/>
      <w:marRight w:val="0"/>
      <w:marTop w:val="0"/>
      <w:marBottom w:val="0"/>
      <w:divBdr>
        <w:top w:val="none" w:sz="0" w:space="0" w:color="auto"/>
        <w:left w:val="none" w:sz="0" w:space="0" w:color="auto"/>
        <w:bottom w:val="none" w:sz="0" w:space="0" w:color="auto"/>
        <w:right w:val="none" w:sz="0" w:space="0" w:color="auto"/>
      </w:divBdr>
    </w:div>
    <w:div w:id="386299762">
      <w:bodyDiv w:val="1"/>
      <w:marLeft w:val="0"/>
      <w:marRight w:val="0"/>
      <w:marTop w:val="0"/>
      <w:marBottom w:val="0"/>
      <w:divBdr>
        <w:top w:val="none" w:sz="0" w:space="0" w:color="auto"/>
        <w:left w:val="none" w:sz="0" w:space="0" w:color="auto"/>
        <w:bottom w:val="none" w:sz="0" w:space="0" w:color="auto"/>
        <w:right w:val="none" w:sz="0" w:space="0" w:color="auto"/>
      </w:divBdr>
    </w:div>
    <w:div w:id="418720822">
      <w:bodyDiv w:val="1"/>
      <w:marLeft w:val="0"/>
      <w:marRight w:val="0"/>
      <w:marTop w:val="0"/>
      <w:marBottom w:val="0"/>
      <w:divBdr>
        <w:top w:val="none" w:sz="0" w:space="0" w:color="auto"/>
        <w:left w:val="none" w:sz="0" w:space="0" w:color="auto"/>
        <w:bottom w:val="none" w:sz="0" w:space="0" w:color="auto"/>
        <w:right w:val="none" w:sz="0" w:space="0" w:color="auto"/>
      </w:divBdr>
      <w:divsChild>
        <w:div w:id="235940035">
          <w:marLeft w:val="0"/>
          <w:marRight w:val="0"/>
          <w:marTop w:val="0"/>
          <w:marBottom w:val="0"/>
          <w:divBdr>
            <w:top w:val="none" w:sz="0" w:space="0" w:color="auto"/>
            <w:left w:val="none" w:sz="0" w:space="0" w:color="auto"/>
            <w:bottom w:val="none" w:sz="0" w:space="0" w:color="auto"/>
            <w:right w:val="none" w:sz="0" w:space="0" w:color="auto"/>
          </w:divBdr>
        </w:div>
        <w:div w:id="1403328445">
          <w:marLeft w:val="0"/>
          <w:marRight w:val="0"/>
          <w:marTop w:val="0"/>
          <w:marBottom w:val="0"/>
          <w:divBdr>
            <w:top w:val="none" w:sz="0" w:space="0" w:color="auto"/>
            <w:left w:val="none" w:sz="0" w:space="0" w:color="auto"/>
            <w:bottom w:val="none" w:sz="0" w:space="0" w:color="auto"/>
            <w:right w:val="none" w:sz="0" w:space="0" w:color="auto"/>
          </w:divBdr>
        </w:div>
        <w:div w:id="1101222598">
          <w:marLeft w:val="0"/>
          <w:marRight w:val="0"/>
          <w:marTop w:val="0"/>
          <w:marBottom w:val="0"/>
          <w:divBdr>
            <w:top w:val="none" w:sz="0" w:space="0" w:color="auto"/>
            <w:left w:val="none" w:sz="0" w:space="0" w:color="auto"/>
            <w:bottom w:val="none" w:sz="0" w:space="0" w:color="auto"/>
            <w:right w:val="none" w:sz="0" w:space="0" w:color="auto"/>
          </w:divBdr>
        </w:div>
        <w:div w:id="264268229">
          <w:marLeft w:val="0"/>
          <w:marRight w:val="0"/>
          <w:marTop w:val="0"/>
          <w:marBottom w:val="0"/>
          <w:divBdr>
            <w:top w:val="none" w:sz="0" w:space="0" w:color="auto"/>
            <w:left w:val="none" w:sz="0" w:space="0" w:color="auto"/>
            <w:bottom w:val="none" w:sz="0" w:space="0" w:color="auto"/>
            <w:right w:val="none" w:sz="0" w:space="0" w:color="auto"/>
          </w:divBdr>
        </w:div>
        <w:div w:id="1610695939">
          <w:marLeft w:val="0"/>
          <w:marRight w:val="0"/>
          <w:marTop w:val="0"/>
          <w:marBottom w:val="0"/>
          <w:divBdr>
            <w:top w:val="none" w:sz="0" w:space="0" w:color="auto"/>
            <w:left w:val="none" w:sz="0" w:space="0" w:color="auto"/>
            <w:bottom w:val="none" w:sz="0" w:space="0" w:color="auto"/>
            <w:right w:val="none" w:sz="0" w:space="0" w:color="auto"/>
          </w:divBdr>
        </w:div>
        <w:div w:id="546840842">
          <w:marLeft w:val="0"/>
          <w:marRight w:val="0"/>
          <w:marTop w:val="0"/>
          <w:marBottom w:val="0"/>
          <w:divBdr>
            <w:top w:val="none" w:sz="0" w:space="0" w:color="auto"/>
            <w:left w:val="none" w:sz="0" w:space="0" w:color="auto"/>
            <w:bottom w:val="none" w:sz="0" w:space="0" w:color="auto"/>
            <w:right w:val="none" w:sz="0" w:space="0" w:color="auto"/>
          </w:divBdr>
        </w:div>
      </w:divsChild>
    </w:div>
    <w:div w:id="423696383">
      <w:bodyDiv w:val="1"/>
      <w:marLeft w:val="0"/>
      <w:marRight w:val="0"/>
      <w:marTop w:val="0"/>
      <w:marBottom w:val="0"/>
      <w:divBdr>
        <w:top w:val="none" w:sz="0" w:space="0" w:color="auto"/>
        <w:left w:val="none" w:sz="0" w:space="0" w:color="auto"/>
        <w:bottom w:val="none" w:sz="0" w:space="0" w:color="auto"/>
        <w:right w:val="none" w:sz="0" w:space="0" w:color="auto"/>
      </w:divBdr>
    </w:div>
    <w:div w:id="423767339">
      <w:bodyDiv w:val="1"/>
      <w:marLeft w:val="0"/>
      <w:marRight w:val="0"/>
      <w:marTop w:val="0"/>
      <w:marBottom w:val="0"/>
      <w:divBdr>
        <w:top w:val="none" w:sz="0" w:space="0" w:color="auto"/>
        <w:left w:val="none" w:sz="0" w:space="0" w:color="auto"/>
        <w:bottom w:val="none" w:sz="0" w:space="0" w:color="auto"/>
        <w:right w:val="none" w:sz="0" w:space="0" w:color="auto"/>
      </w:divBdr>
    </w:div>
    <w:div w:id="428889132">
      <w:bodyDiv w:val="1"/>
      <w:marLeft w:val="0"/>
      <w:marRight w:val="0"/>
      <w:marTop w:val="0"/>
      <w:marBottom w:val="0"/>
      <w:divBdr>
        <w:top w:val="none" w:sz="0" w:space="0" w:color="auto"/>
        <w:left w:val="none" w:sz="0" w:space="0" w:color="auto"/>
        <w:bottom w:val="none" w:sz="0" w:space="0" w:color="auto"/>
        <w:right w:val="none" w:sz="0" w:space="0" w:color="auto"/>
      </w:divBdr>
    </w:div>
    <w:div w:id="441151203">
      <w:bodyDiv w:val="1"/>
      <w:marLeft w:val="0"/>
      <w:marRight w:val="0"/>
      <w:marTop w:val="0"/>
      <w:marBottom w:val="0"/>
      <w:divBdr>
        <w:top w:val="none" w:sz="0" w:space="0" w:color="auto"/>
        <w:left w:val="none" w:sz="0" w:space="0" w:color="auto"/>
        <w:bottom w:val="none" w:sz="0" w:space="0" w:color="auto"/>
        <w:right w:val="none" w:sz="0" w:space="0" w:color="auto"/>
      </w:divBdr>
    </w:div>
    <w:div w:id="471557343">
      <w:bodyDiv w:val="1"/>
      <w:marLeft w:val="0"/>
      <w:marRight w:val="0"/>
      <w:marTop w:val="0"/>
      <w:marBottom w:val="0"/>
      <w:divBdr>
        <w:top w:val="none" w:sz="0" w:space="0" w:color="auto"/>
        <w:left w:val="none" w:sz="0" w:space="0" w:color="auto"/>
        <w:bottom w:val="none" w:sz="0" w:space="0" w:color="auto"/>
        <w:right w:val="none" w:sz="0" w:space="0" w:color="auto"/>
      </w:divBdr>
    </w:div>
    <w:div w:id="472646793">
      <w:bodyDiv w:val="1"/>
      <w:marLeft w:val="0"/>
      <w:marRight w:val="0"/>
      <w:marTop w:val="0"/>
      <w:marBottom w:val="0"/>
      <w:divBdr>
        <w:top w:val="none" w:sz="0" w:space="0" w:color="auto"/>
        <w:left w:val="none" w:sz="0" w:space="0" w:color="auto"/>
        <w:bottom w:val="none" w:sz="0" w:space="0" w:color="auto"/>
        <w:right w:val="none" w:sz="0" w:space="0" w:color="auto"/>
      </w:divBdr>
    </w:div>
    <w:div w:id="511913488">
      <w:bodyDiv w:val="1"/>
      <w:marLeft w:val="0"/>
      <w:marRight w:val="0"/>
      <w:marTop w:val="0"/>
      <w:marBottom w:val="0"/>
      <w:divBdr>
        <w:top w:val="none" w:sz="0" w:space="0" w:color="auto"/>
        <w:left w:val="none" w:sz="0" w:space="0" w:color="auto"/>
        <w:bottom w:val="none" w:sz="0" w:space="0" w:color="auto"/>
        <w:right w:val="none" w:sz="0" w:space="0" w:color="auto"/>
      </w:divBdr>
    </w:div>
    <w:div w:id="518010325">
      <w:bodyDiv w:val="1"/>
      <w:marLeft w:val="0"/>
      <w:marRight w:val="0"/>
      <w:marTop w:val="0"/>
      <w:marBottom w:val="0"/>
      <w:divBdr>
        <w:top w:val="none" w:sz="0" w:space="0" w:color="auto"/>
        <w:left w:val="none" w:sz="0" w:space="0" w:color="auto"/>
        <w:bottom w:val="none" w:sz="0" w:space="0" w:color="auto"/>
        <w:right w:val="none" w:sz="0" w:space="0" w:color="auto"/>
      </w:divBdr>
    </w:div>
    <w:div w:id="544410453">
      <w:bodyDiv w:val="1"/>
      <w:marLeft w:val="0"/>
      <w:marRight w:val="0"/>
      <w:marTop w:val="0"/>
      <w:marBottom w:val="0"/>
      <w:divBdr>
        <w:top w:val="none" w:sz="0" w:space="0" w:color="auto"/>
        <w:left w:val="none" w:sz="0" w:space="0" w:color="auto"/>
        <w:bottom w:val="none" w:sz="0" w:space="0" w:color="auto"/>
        <w:right w:val="none" w:sz="0" w:space="0" w:color="auto"/>
      </w:divBdr>
    </w:div>
    <w:div w:id="547648118">
      <w:bodyDiv w:val="1"/>
      <w:marLeft w:val="0"/>
      <w:marRight w:val="0"/>
      <w:marTop w:val="0"/>
      <w:marBottom w:val="0"/>
      <w:divBdr>
        <w:top w:val="none" w:sz="0" w:space="0" w:color="auto"/>
        <w:left w:val="none" w:sz="0" w:space="0" w:color="auto"/>
        <w:bottom w:val="none" w:sz="0" w:space="0" w:color="auto"/>
        <w:right w:val="none" w:sz="0" w:space="0" w:color="auto"/>
      </w:divBdr>
    </w:div>
    <w:div w:id="555315106">
      <w:bodyDiv w:val="1"/>
      <w:marLeft w:val="0"/>
      <w:marRight w:val="0"/>
      <w:marTop w:val="0"/>
      <w:marBottom w:val="0"/>
      <w:divBdr>
        <w:top w:val="none" w:sz="0" w:space="0" w:color="auto"/>
        <w:left w:val="none" w:sz="0" w:space="0" w:color="auto"/>
        <w:bottom w:val="none" w:sz="0" w:space="0" w:color="auto"/>
        <w:right w:val="none" w:sz="0" w:space="0" w:color="auto"/>
      </w:divBdr>
    </w:div>
    <w:div w:id="562909849">
      <w:bodyDiv w:val="1"/>
      <w:marLeft w:val="0"/>
      <w:marRight w:val="0"/>
      <w:marTop w:val="0"/>
      <w:marBottom w:val="0"/>
      <w:divBdr>
        <w:top w:val="none" w:sz="0" w:space="0" w:color="auto"/>
        <w:left w:val="none" w:sz="0" w:space="0" w:color="auto"/>
        <w:bottom w:val="none" w:sz="0" w:space="0" w:color="auto"/>
        <w:right w:val="none" w:sz="0" w:space="0" w:color="auto"/>
      </w:divBdr>
    </w:div>
    <w:div w:id="564680342">
      <w:bodyDiv w:val="1"/>
      <w:marLeft w:val="0"/>
      <w:marRight w:val="0"/>
      <w:marTop w:val="0"/>
      <w:marBottom w:val="0"/>
      <w:divBdr>
        <w:top w:val="none" w:sz="0" w:space="0" w:color="auto"/>
        <w:left w:val="none" w:sz="0" w:space="0" w:color="auto"/>
        <w:bottom w:val="none" w:sz="0" w:space="0" w:color="auto"/>
        <w:right w:val="none" w:sz="0" w:space="0" w:color="auto"/>
      </w:divBdr>
      <w:divsChild>
        <w:div w:id="1763604913">
          <w:marLeft w:val="0"/>
          <w:marRight w:val="0"/>
          <w:marTop w:val="0"/>
          <w:marBottom w:val="0"/>
          <w:divBdr>
            <w:top w:val="none" w:sz="0" w:space="0" w:color="auto"/>
            <w:left w:val="none" w:sz="0" w:space="0" w:color="auto"/>
            <w:bottom w:val="none" w:sz="0" w:space="0" w:color="auto"/>
            <w:right w:val="none" w:sz="0" w:space="0" w:color="auto"/>
          </w:divBdr>
        </w:div>
      </w:divsChild>
    </w:div>
    <w:div w:id="566380708">
      <w:bodyDiv w:val="1"/>
      <w:marLeft w:val="0"/>
      <w:marRight w:val="0"/>
      <w:marTop w:val="0"/>
      <w:marBottom w:val="0"/>
      <w:divBdr>
        <w:top w:val="none" w:sz="0" w:space="0" w:color="auto"/>
        <w:left w:val="none" w:sz="0" w:space="0" w:color="auto"/>
        <w:bottom w:val="none" w:sz="0" w:space="0" w:color="auto"/>
        <w:right w:val="none" w:sz="0" w:space="0" w:color="auto"/>
      </w:divBdr>
      <w:divsChild>
        <w:div w:id="1605187259">
          <w:marLeft w:val="0"/>
          <w:marRight w:val="0"/>
          <w:marTop w:val="0"/>
          <w:marBottom w:val="0"/>
          <w:divBdr>
            <w:top w:val="none" w:sz="0" w:space="0" w:color="auto"/>
            <w:left w:val="none" w:sz="0" w:space="0" w:color="auto"/>
            <w:bottom w:val="none" w:sz="0" w:space="0" w:color="auto"/>
            <w:right w:val="none" w:sz="0" w:space="0" w:color="auto"/>
          </w:divBdr>
        </w:div>
        <w:div w:id="772436364">
          <w:marLeft w:val="0"/>
          <w:marRight w:val="0"/>
          <w:marTop w:val="0"/>
          <w:marBottom w:val="0"/>
          <w:divBdr>
            <w:top w:val="none" w:sz="0" w:space="0" w:color="auto"/>
            <w:left w:val="none" w:sz="0" w:space="0" w:color="auto"/>
            <w:bottom w:val="none" w:sz="0" w:space="0" w:color="auto"/>
            <w:right w:val="none" w:sz="0" w:space="0" w:color="auto"/>
          </w:divBdr>
        </w:div>
        <w:div w:id="908728906">
          <w:marLeft w:val="0"/>
          <w:marRight w:val="0"/>
          <w:marTop w:val="0"/>
          <w:marBottom w:val="0"/>
          <w:divBdr>
            <w:top w:val="none" w:sz="0" w:space="0" w:color="auto"/>
            <w:left w:val="none" w:sz="0" w:space="0" w:color="auto"/>
            <w:bottom w:val="none" w:sz="0" w:space="0" w:color="auto"/>
            <w:right w:val="none" w:sz="0" w:space="0" w:color="auto"/>
          </w:divBdr>
        </w:div>
      </w:divsChild>
    </w:div>
    <w:div w:id="594216146">
      <w:bodyDiv w:val="1"/>
      <w:marLeft w:val="0"/>
      <w:marRight w:val="0"/>
      <w:marTop w:val="0"/>
      <w:marBottom w:val="0"/>
      <w:divBdr>
        <w:top w:val="none" w:sz="0" w:space="0" w:color="auto"/>
        <w:left w:val="none" w:sz="0" w:space="0" w:color="auto"/>
        <w:bottom w:val="none" w:sz="0" w:space="0" w:color="auto"/>
        <w:right w:val="none" w:sz="0" w:space="0" w:color="auto"/>
      </w:divBdr>
      <w:divsChild>
        <w:div w:id="11953747">
          <w:marLeft w:val="0"/>
          <w:marRight w:val="0"/>
          <w:marTop w:val="0"/>
          <w:marBottom w:val="0"/>
          <w:divBdr>
            <w:top w:val="none" w:sz="0" w:space="0" w:color="auto"/>
            <w:left w:val="none" w:sz="0" w:space="0" w:color="auto"/>
            <w:bottom w:val="none" w:sz="0" w:space="0" w:color="auto"/>
            <w:right w:val="none" w:sz="0" w:space="0" w:color="auto"/>
          </w:divBdr>
        </w:div>
      </w:divsChild>
    </w:div>
    <w:div w:id="600070624">
      <w:bodyDiv w:val="1"/>
      <w:marLeft w:val="0"/>
      <w:marRight w:val="0"/>
      <w:marTop w:val="0"/>
      <w:marBottom w:val="0"/>
      <w:divBdr>
        <w:top w:val="none" w:sz="0" w:space="0" w:color="auto"/>
        <w:left w:val="none" w:sz="0" w:space="0" w:color="auto"/>
        <w:bottom w:val="none" w:sz="0" w:space="0" w:color="auto"/>
        <w:right w:val="none" w:sz="0" w:space="0" w:color="auto"/>
      </w:divBdr>
    </w:div>
    <w:div w:id="610547457">
      <w:bodyDiv w:val="1"/>
      <w:marLeft w:val="0"/>
      <w:marRight w:val="0"/>
      <w:marTop w:val="0"/>
      <w:marBottom w:val="0"/>
      <w:divBdr>
        <w:top w:val="none" w:sz="0" w:space="0" w:color="auto"/>
        <w:left w:val="none" w:sz="0" w:space="0" w:color="auto"/>
        <w:bottom w:val="none" w:sz="0" w:space="0" w:color="auto"/>
        <w:right w:val="none" w:sz="0" w:space="0" w:color="auto"/>
      </w:divBdr>
      <w:divsChild>
        <w:div w:id="61031553">
          <w:marLeft w:val="0"/>
          <w:marRight w:val="0"/>
          <w:marTop w:val="0"/>
          <w:marBottom w:val="0"/>
          <w:divBdr>
            <w:top w:val="none" w:sz="0" w:space="0" w:color="auto"/>
            <w:left w:val="none" w:sz="0" w:space="0" w:color="auto"/>
            <w:bottom w:val="none" w:sz="0" w:space="0" w:color="auto"/>
            <w:right w:val="none" w:sz="0" w:space="0" w:color="auto"/>
          </w:divBdr>
          <w:divsChild>
            <w:div w:id="2072120212">
              <w:marLeft w:val="0"/>
              <w:marRight w:val="0"/>
              <w:marTop w:val="0"/>
              <w:marBottom w:val="0"/>
              <w:divBdr>
                <w:top w:val="none" w:sz="0" w:space="0" w:color="auto"/>
                <w:left w:val="none" w:sz="0" w:space="0" w:color="auto"/>
                <w:bottom w:val="none" w:sz="0" w:space="0" w:color="auto"/>
                <w:right w:val="none" w:sz="0" w:space="0" w:color="auto"/>
              </w:divBdr>
            </w:div>
            <w:div w:id="709261904">
              <w:marLeft w:val="0"/>
              <w:marRight w:val="0"/>
              <w:marTop w:val="0"/>
              <w:marBottom w:val="0"/>
              <w:divBdr>
                <w:top w:val="none" w:sz="0" w:space="0" w:color="auto"/>
                <w:left w:val="none" w:sz="0" w:space="0" w:color="auto"/>
                <w:bottom w:val="none" w:sz="0" w:space="0" w:color="auto"/>
                <w:right w:val="none" w:sz="0" w:space="0" w:color="auto"/>
              </w:divBdr>
            </w:div>
            <w:div w:id="2026832563">
              <w:marLeft w:val="0"/>
              <w:marRight w:val="0"/>
              <w:marTop w:val="0"/>
              <w:marBottom w:val="0"/>
              <w:divBdr>
                <w:top w:val="none" w:sz="0" w:space="0" w:color="auto"/>
                <w:left w:val="none" w:sz="0" w:space="0" w:color="auto"/>
                <w:bottom w:val="none" w:sz="0" w:space="0" w:color="auto"/>
                <w:right w:val="none" w:sz="0" w:space="0" w:color="auto"/>
              </w:divBdr>
            </w:div>
            <w:div w:id="234321461">
              <w:marLeft w:val="0"/>
              <w:marRight w:val="0"/>
              <w:marTop w:val="0"/>
              <w:marBottom w:val="0"/>
              <w:divBdr>
                <w:top w:val="none" w:sz="0" w:space="0" w:color="auto"/>
                <w:left w:val="none" w:sz="0" w:space="0" w:color="auto"/>
                <w:bottom w:val="none" w:sz="0" w:space="0" w:color="auto"/>
                <w:right w:val="none" w:sz="0" w:space="0" w:color="auto"/>
              </w:divBdr>
            </w:div>
            <w:div w:id="133256578">
              <w:marLeft w:val="0"/>
              <w:marRight w:val="0"/>
              <w:marTop w:val="0"/>
              <w:marBottom w:val="0"/>
              <w:divBdr>
                <w:top w:val="none" w:sz="0" w:space="0" w:color="auto"/>
                <w:left w:val="none" w:sz="0" w:space="0" w:color="auto"/>
                <w:bottom w:val="none" w:sz="0" w:space="0" w:color="auto"/>
                <w:right w:val="none" w:sz="0" w:space="0" w:color="auto"/>
              </w:divBdr>
            </w:div>
            <w:div w:id="50812529">
              <w:marLeft w:val="0"/>
              <w:marRight w:val="0"/>
              <w:marTop w:val="0"/>
              <w:marBottom w:val="0"/>
              <w:divBdr>
                <w:top w:val="none" w:sz="0" w:space="0" w:color="auto"/>
                <w:left w:val="none" w:sz="0" w:space="0" w:color="auto"/>
                <w:bottom w:val="none" w:sz="0" w:space="0" w:color="auto"/>
                <w:right w:val="none" w:sz="0" w:space="0" w:color="auto"/>
              </w:divBdr>
            </w:div>
            <w:div w:id="1126657058">
              <w:marLeft w:val="0"/>
              <w:marRight w:val="0"/>
              <w:marTop w:val="0"/>
              <w:marBottom w:val="0"/>
              <w:divBdr>
                <w:top w:val="none" w:sz="0" w:space="0" w:color="auto"/>
                <w:left w:val="none" w:sz="0" w:space="0" w:color="auto"/>
                <w:bottom w:val="none" w:sz="0" w:space="0" w:color="auto"/>
                <w:right w:val="none" w:sz="0" w:space="0" w:color="auto"/>
              </w:divBdr>
            </w:div>
            <w:div w:id="1796870886">
              <w:marLeft w:val="0"/>
              <w:marRight w:val="0"/>
              <w:marTop w:val="0"/>
              <w:marBottom w:val="0"/>
              <w:divBdr>
                <w:top w:val="none" w:sz="0" w:space="0" w:color="auto"/>
                <w:left w:val="none" w:sz="0" w:space="0" w:color="auto"/>
                <w:bottom w:val="none" w:sz="0" w:space="0" w:color="auto"/>
                <w:right w:val="none" w:sz="0" w:space="0" w:color="auto"/>
              </w:divBdr>
            </w:div>
            <w:div w:id="75368168">
              <w:marLeft w:val="0"/>
              <w:marRight w:val="0"/>
              <w:marTop w:val="0"/>
              <w:marBottom w:val="0"/>
              <w:divBdr>
                <w:top w:val="none" w:sz="0" w:space="0" w:color="auto"/>
                <w:left w:val="none" w:sz="0" w:space="0" w:color="auto"/>
                <w:bottom w:val="none" w:sz="0" w:space="0" w:color="auto"/>
                <w:right w:val="none" w:sz="0" w:space="0" w:color="auto"/>
              </w:divBdr>
            </w:div>
            <w:div w:id="184028964">
              <w:marLeft w:val="0"/>
              <w:marRight w:val="0"/>
              <w:marTop w:val="0"/>
              <w:marBottom w:val="0"/>
              <w:divBdr>
                <w:top w:val="none" w:sz="0" w:space="0" w:color="auto"/>
                <w:left w:val="none" w:sz="0" w:space="0" w:color="auto"/>
                <w:bottom w:val="none" w:sz="0" w:space="0" w:color="auto"/>
                <w:right w:val="none" w:sz="0" w:space="0" w:color="auto"/>
              </w:divBdr>
            </w:div>
            <w:div w:id="1635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2707">
      <w:bodyDiv w:val="1"/>
      <w:marLeft w:val="0"/>
      <w:marRight w:val="0"/>
      <w:marTop w:val="0"/>
      <w:marBottom w:val="0"/>
      <w:divBdr>
        <w:top w:val="none" w:sz="0" w:space="0" w:color="auto"/>
        <w:left w:val="none" w:sz="0" w:space="0" w:color="auto"/>
        <w:bottom w:val="none" w:sz="0" w:space="0" w:color="auto"/>
        <w:right w:val="none" w:sz="0" w:space="0" w:color="auto"/>
      </w:divBdr>
    </w:div>
    <w:div w:id="642200541">
      <w:bodyDiv w:val="1"/>
      <w:marLeft w:val="0"/>
      <w:marRight w:val="0"/>
      <w:marTop w:val="0"/>
      <w:marBottom w:val="0"/>
      <w:divBdr>
        <w:top w:val="none" w:sz="0" w:space="0" w:color="auto"/>
        <w:left w:val="none" w:sz="0" w:space="0" w:color="auto"/>
        <w:bottom w:val="none" w:sz="0" w:space="0" w:color="auto"/>
        <w:right w:val="none" w:sz="0" w:space="0" w:color="auto"/>
      </w:divBdr>
    </w:div>
    <w:div w:id="674842184">
      <w:bodyDiv w:val="1"/>
      <w:marLeft w:val="0"/>
      <w:marRight w:val="0"/>
      <w:marTop w:val="0"/>
      <w:marBottom w:val="0"/>
      <w:divBdr>
        <w:top w:val="none" w:sz="0" w:space="0" w:color="auto"/>
        <w:left w:val="none" w:sz="0" w:space="0" w:color="auto"/>
        <w:bottom w:val="none" w:sz="0" w:space="0" w:color="auto"/>
        <w:right w:val="none" w:sz="0" w:space="0" w:color="auto"/>
      </w:divBdr>
      <w:divsChild>
        <w:div w:id="1635140326">
          <w:marLeft w:val="0"/>
          <w:marRight w:val="0"/>
          <w:marTop w:val="0"/>
          <w:marBottom w:val="0"/>
          <w:divBdr>
            <w:top w:val="none" w:sz="0" w:space="0" w:color="auto"/>
            <w:left w:val="none" w:sz="0" w:space="0" w:color="auto"/>
            <w:bottom w:val="none" w:sz="0" w:space="0" w:color="auto"/>
            <w:right w:val="none" w:sz="0" w:space="0" w:color="auto"/>
          </w:divBdr>
        </w:div>
        <w:div w:id="286157543">
          <w:marLeft w:val="0"/>
          <w:marRight w:val="0"/>
          <w:marTop w:val="0"/>
          <w:marBottom w:val="0"/>
          <w:divBdr>
            <w:top w:val="none" w:sz="0" w:space="0" w:color="auto"/>
            <w:left w:val="none" w:sz="0" w:space="0" w:color="auto"/>
            <w:bottom w:val="none" w:sz="0" w:space="0" w:color="auto"/>
            <w:right w:val="none" w:sz="0" w:space="0" w:color="auto"/>
          </w:divBdr>
        </w:div>
        <w:div w:id="1240139143">
          <w:marLeft w:val="0"/>
          <w:marRight w:val="0"/>
          <w:marTop w:val="0"/>
          <w:marBottom w:val="0"/>
          <w:divBdr>
            <w:top w:val="none" w:sz="0" w:space="0" w:color="auto"/>
            <w:left w:val="none" w:sz="0" w:space="0" w:color="auto"/>
            <w:bottom w:val="none" w:sz="0" w:space="0" w:color="auto"/>
            <w:right w:val="none" w:sz="0" w:space="0" w:color="auto"/>
          </w:divBdr>
        </w:div>
      </w:divsChild>
    </w:div>
    <w:div w:id="702638686">
      <w:bodyDiv w:val="1"/>
      <w:marLeft w:val="0"/>
      <w:marRight w:val="0"/>
      <w:marTop w:val="0"/>
      <w:marBottom w:val="0"/>
      <w:divBdr>
        <w:top w:val="none" w:sz="0" w:space="0" w:color="auto"/>
        <w:left w:val="none" w:sz="0" w:space="0" w:color="auto"/>
        <w:bottom w:val="none" w:sz="0" w:space="0" w:color="auto"/>
        <w:right w:val="none" w:sz="0" w:space="0" w:color="auto"/>
      </w:divBdr>
    </w:div>
    <w:div w:id="735861552">
      <w:bodyDiv w:val="1"/>
      <w:marLeft w:val="0"/>
      <w:marRight w:val="0"/>
      <w:marTop w:val="0"/>
      <w:marBottom w:val="0"/>
      <w:divBdr>
        <w:top w:val="none" w:sz="0" w:space="0" w:color="auto"/>
        <w:left w:val="none" w:sz="0" w:space="0" w:color="auto"/>
        <w:bottom w:val="none" w:sz="0" w:space="0" w:color="auto"/>
        <w:right w:val="none" w:sz="0" w:space="0" w:color="auto"/>
      </w:divBdr>
    </w:div>
    <w:div w:id="735975463">
      <w:bodyDiv w:val="1"/>
      <w:marLeft w:val="0"/>
      <w:marRight w:val="0"/>
      <w:marTop w:val="0"/>
      <w:marBottom w:val="0"/>
      <w:divBdr>
        <w:top w:val="none" w:sz="0" w:space="0" w:color="auto"/>
        <w:left w:val="none" w:sz="0" w:space="0" w:color="auto"/>
        <w:bottom w:val="none" w:sz="0" w:space="0" w:color="auto"/>
        <w:right w:val="none" w:sz="0" w:space="0" w:color="auto"/>
      </w:divBdr>
      <w:divsChild>
        <w:div w:id="175268502">
          <w:marLeft w:val="0"/>
          <w:marRight w:val="0"/>
          <w:marTop w:val="0"/>
          <w:marBottom w:val="0"/>
          <w:divBdr>
            <w:top w:val="none" w:sz="0" w:space="0" w:color="auto"/>
            <w:left w:val="none" w:sz="0" w:space="0" w:color="auto"/>
            <w:bottom w:val="none" w:sz="0" w:space="0" w:color="auto"/>
            <w:right w:val="none" w:sz="0" w:space="0" w:color="auto"/>
          </w:divBdr>
        </w:div>
        <w:div w:id="857473058">
          <w:marLeft w:val="0"/>
          <w:marRight w:val="0"/>
          <w:marTop w:val="0"/>
          <w:marBottom w:val="0"/>
          <w:divBdr>
            <w:top w:val="none" w:sz="0" w:space="0" w:color="auto"/>
            <w:left w:val="none" w:sz="0" w:space="0" w:color="auto"/>
            <w:bottom w:val="none" w:sz="0" w:space="0" w:color="auto"/>
            <w:right w:val="none" w:sz="0" w:space="0" w:color="auto"/>
          </w:divBdr>
        </w:div>
      </w:divsChild>
    </w:div>
    <w:div w:id="766340811">
      <w:bodyDiv w:val="1"/>
      <w:marLeft w:val="0"/>
      <w:marRight w:val="0"/>
      <w:marTop w:val="0"/>
      <w:marBottom w:val="0"/>
      <w:divBdr>
        <w:top w:val="none" w:sz="0" w:space="0" w:color="auto"/>
        <w:left w:val="none" w:sz="0" w:space="0" w:color="auto"/>
        <w:bottom w:val="none" w:sz="0" w:space="0" w:color="auto"/>
        <w:right w:val="none" w:sz="0" w:space="0" w:color="auto"/>
      </w:divBdr>
    </w:div>
    <w:div w:id="812256647">
      <w:bodyDiv w:val="1"/>
      <w:marLeft w:val="0"/>
      <w:marRight w:val="0"/>
      <w:marTop w:val="0"/>
      <w:marBottom w:val="0"/>
      <w:divBdr>
        <w:top w:val="none" w:sz="0" w:space="0" w:color="auto"/>
        <w:left w:val="none" w:sz="0" w:space="0" w:color="auto"/>
        <w:bottom w:val="none" w:sz="0" w:space="0" w:color="auto"/>
        <w:right w:val="none" w:sz="0" w:space="0" w:color="auto"/>
      </w:divBdr>
    </w:div>
    <w:div w:id="828715201">
      <w:bodyDiv w:val="1"/>
      <w:marLeft w:val="0"/>
      <w:marRight w:val="0"/>
      <w:marTop w:val="0"/>
      <w:marBottom w:val="0"/>
      <w:divBdr>
        <w:top w:val="none" w:sz="0" w:space="0" w:color="auto"/>
        <w:left w:val="none" w:sz="0" w:space="0" w:color="auto"/>
        <w:bottom w:val="none" w:sz="0" w:space="0" w:color="auto"/>
        <w:right w:val="none" w:sz="0" w:space="0" w:color="auto"/>
      </w:divBdr>
    </w:div>
    <w:div w:id="844366769">
      <w:bodyDiv w:val="1"/>
      <w:marLeft w:val="0"/>
      <w:marRight w:val="0"/>
      <w:marTop w:val="0"/>
      <w:marBottom w:val="0"/>
      <w:divBdr>
        <w:top w:val="none" w:sz="0" w:space="0" w:color="auto"/>
        <w:left w:val="none" w:sz="0" w:space="0" w:color="auto"/>
        <w:bottom w:val="none" w:sz="0" w:space="0" w:color="auto"/>
        <w:right w:val="none" w:sz="0" w:space="0" w:color="auto"/>
      </w:divBdr>
    </w:div>
    <w:div w:id="897937825">
      <w:bodyDiv w:val="1"/>
      <w:marLeft w:val="0"/>
      <w:marRight w:val="0"/>
      <w:marTop w:val="0"/>
      <w:marBottom w:val="0"/>
      <w:divBdr>
        <w:top w:val="none" w:sz="0" w:space="0" w:color="auto"/>
        <w:left w:val="none" w:sz="0" w:space="0" w:color="auto"/>
        <w:bottom w:val="none" w:sz="0" w:space="0" w:color="auto"/>
        <w:right w:val="none" w:sz="0" w:space="0" w:color="auto"/>
      </w:divBdr>
    </w:div>
    <w:div w:id="898172480">
      <w:bodyDiv w:val="1"/>
      <w:marLeft w:val="0"/>
      <w:marRight w:val="0"/>
      <w:marTop w:val="0"/>
      <w:marBottom w:val="0"/>
      <w:divBdr>
        <w:top w:val="none" w:sz="0" w:space="0" w:color="auto"/>
        <w:left w:val="none" w:sz="0" w:space="0" w:color="auto"/>
        <w:bottom w:val="none" w:sz="0" w:space="0" w:color="auto"/>
        <w:right w:val="none" w:sz="0" w:space="0" w:color="auto"/>
      </w:divBdr>
      <w:divsChild>
        <w:div w:id="1576085600">
          <w:marLeft w:val="0"/>
          <w:marRight w:val="0"/>
          <w:marTop w:val="0"/>
          <w:marBottom w:val="0"/>
          <w:divBdr>
            <w:top w:val="none" w:sz="0" w:space="0" w:color="auto"/>
            <w:left w:val="none" w:sz="0" w:space="0" w:color="auto"/>
            <w:bottom w:val="none" w:sz="0" w:space="0" w:color="auto"/>
            <w:right w:val="none" w:sz="0" w:space="0" w:color="auto"/>
          </w:divBdr>
        </w:div>
        <w:div w:id="1893729759">
          <w:marLeft w:val="0"/>
          <w:marRight w:val="0"/>
          <w:marTop w:val="0"/>
          <w:marBottom w:val="0"/>
          <w:divBdr>
            <w:top w:val="none" w:sz="0" w:space="0" w:color="auto"/>
            <w:left w:val="none" w:sz="0" w:space="0" w:color="auto"/>
            <w:bottom w:val="none" w:sz="0" w:space="0" w:color="auto"/>
            <w:right w:val="none" w:sz="0" w:space="0" w:color="auto"/>
          </w:divBdr>
        </w:div>
        <w:div w:id="1146553494">
          <w:marLeft w:val="0"/>
          <w:marRight w:val="0"/>
          <w:marTop w:val="0"/>
          <w:marBottom w:val="0"/>
          <w:divBdr>
            <w:top w:val="none" w:sz="0" w:space="0" w:color="auto"/>
            <w:left w:val="none" w:sz="0" w:space="0" w:color="auto"/>
            <w:bottom w:val="none" w:sz="0" w:space="0" w:color="auto"/>
            <w:right w:val="none" w:sz="0" w:space="0" w:color="auto"/>
          </w:divBdr>
        </w:div>
        <w:div w:id="1877624301">
          <w:marLeft w:val="0"/>
          <w:marRight w:val="0"/>
          <w:marTop w:val="0"/>
          <w:marBottom w:val="0"/>
          <w:divBdr>
            <w:top w:val="none" w:sz="0" w:space="0" w:color="auto"/>
            <w:left w:val="none" w:sz="0" w:space="0" w:color="auto"/>
            <w:bottom w:val="none" w:sz="0" w:space="0" w:color="auto"/>
            <w:right w:val="none" w:sz="0" w:space="0" w:color="auto"/>
          </w:divBdr>
        </w:div>
        <w:div w:id="1084304148">
          <w:marLeft w:val="0"/>
          <w:marRight w:val="0"/>
          <w:marTop w:val="0"/>
          <w:marBottom w:val="0"/>
          <w:divBdr>
            <w:top w:val="none" w:sz="0" w:space="0" w:color="auto"/>
            <w:left w:val="none" w:sz="0" w:space="0" w:color="auto"/>
            <w:bottom w:val="none" w:sz="0" w:space="0" w:color="auto"/>
            <w:right w:val="none" w:sz="0" w:space="0" w:color="auto"/>
          </w:divBdr>
        </w:div>
        <w:div w:id="961426725">
          <w:marLeft w:val="0"/>
          <w:marRight w:val="0"/>
          <w:marTop w:val="0"/>
          <w:marBottom w:val="0"/>
          <w:divBdr>
            <w:top w:val="none" w:sz="0" w:space="0" w:color="auto"/>
            <w:left w:val="none" w:sz="0" w:space="0" w:color="auto"/>
            <w:bottom w:val="none" w:sz="0" w:space="0" w:color="auto"/>
            <w:right w:val="none" w:sz="0" w:space="0" w:color="auto"/>
          </w:divBdr>
        </w:div>
        <w:div w:id="1522158115">
          <w:marLeft w:val="0"/>
          <w:marRight w:val="0"/>
          <w:marTop w:val="0"/>
          <w:marBottom w:val="0"/>
          <w:divBdr>
            <w:top w:val="none" w:sz="0" w:space="0" w:color="auto"/>
            <w:left w:val="none" w:sz="0" w:space="0" w:color="auto"/>
            <w:bottom w:val="none" w:sz="0" w:space="0" w:color="auto"/>
            <w:right w:val="none" w:sz="0" w:space="0" w:color="auto"/>
          </w:divBdr>
        </w:div>
      </w:divsChild>
    </w:div>
    <w:div w:id="898901836">
      <w:bodyDiv w:val="1"/>
      <w:marLeft w:val="0"/>
      <w:marRight w:val="0"/>
      <w:marTop w:val="0"/>
      <w:marBottom w:val="0"/>
      <w:divBdr>
        <w:top w:val="none" w:sz="0" w:space="0" w:color="auto"/>
        <w:left w:val="none" w:sz="0" w:space="0" w:color="auto"/>
        <w:bottom w:val="none" w:sz="0" w:space="0" w:color="auto"/>
        <w:right w:val="none" w:sz="0" w:space="0" w:color="auto"/>
      </w:divBdr>
    </w:div>
    <w:div w:id="902719689">
      <w:bodyDiv w:val="1"/>
      <w:marLeft w:val="0"/>
      <w:marRight w:val="0"/>
      <w:marTop w:val="0"/>
      <w:marBottom w:val="0"/>
      <w:divBdr>
        <w:top w:val="none" w:sz="0" w:space="0" w:color="auto"/>
        <w:left w:val="none" w:sz="0" w:space="0" w:color="auto"/>
        <w:bottom w:val="none" w:sz="0" w:space="0" w:color="auto"/>
        <w:right w:val="none" w:sz="0" w:space="0" w:color="auto"/>
      </w:divBdr>
    </w:div>
    <w:div w:id="927688053">
      <w:bodyDiv w:val="1"/>
      <w:marLeft w:val="0"/>
      <w:marRight w:val="0"/>
      <w:marTop w:val="0"/>
      <w:marBottom w:val="0"/>
      <w:divBdr>
        <w:top w:val="none" w:sz="0" w:space="0" w:color="auto"/>
        <w:left w:val="none" w:sz="0" w:space="0" w:color="auto"/>
        <w:bottom w:val="none" w:sz="0" w:space="0" w:color="auto"/>
        <w:right w:val="none" w:sz="0" w:space="0" w:color="auto"/>
      </w:divBdr>
    </w:div>
    <w:div w:id="953514507">
      <w:bodyDiv w:val="1"/>
      <w:marLeft w:val="0"/>
      <w:marRight w:val="0"/>
      <w:marTop w:val="0"/>
      <w:marBottom w:val="0"/>
      <w:divBdr>
        <w:top w:val="none" w:sz="0" w:space="0" w:color="auto"/>
        <w:left w:val="none" w:sz="0" w:space="0" w:color="auto"/>
        <w:bottom w:val="none" w:sz="0" w:space="0" w:color="auto"/>
        <w:right w:val="none" w:sz="0" w:space="0" w:color="auto"/>
      </w:divBdr>
    </w:div>
    <w:div w:id="991521145">
      <w:bodyDiv w:val="1"/>
      <w:marLeft w:val="0"/>
      <w:marRight w:val="0"/>
      <w:marTop w:val="0"/>
      <w:marBottom w:val="0"/>
      <w:divBdr>
        <w:top w:val="none" w:sz="0" w:space="0" w:color="auto"/>
        <w:left w:val="none" w:sz="0" w:space="0" w:color="auto"/>
        <w:bottom w:val="none" w:sz="0" w:space="0" w:color="auto"/>
        <w:right w:val="none" w:sz="0" w:space="0" w:color="auto"/>
      </w:divBdr>
    </w:div>
    <w:div w:id="1016735623">
      <w:bodyDiv w:val="1"/>
      <w:marLeft w:val="0"/>
      <w:marRight w:val="0"/>
      <w:marTop w:val="0"/>
      <w:marBottom w:val="0"/>
      <w:divBdr>
        <w:top w:val="none" w:sz="0" w:space="0" w:color="auto"/>
        <w:left w:val="none" w:sz="0" w:space="0" w:color="auto"/>
        <w:bottom w:val="none" w:sz="0" w:space="0" w:color="auto"/>
        <w:right w:val="none" w:sz="0" w:space="0" w:color="auto"/>
      </w:divBdr>
    </w:div>
    <w:div w:id="1021858562">
      <w:bodyDiv w:val="1"/>
      <w:marLeft w:val="0"/>
      <w:marRight w:val="0"/>
      <w:marTop w:val="0"/>
      <w:marBottom w:val="0"/>
      <w:divBdr>
        <w:top w:val="none" w:sz="0" w:space="0" w:color="auto"/>
        <w:left w:val="none" w:sz="0" w:space="0" w:color="auto"/>
        <w:bottom w:val="none" w:sz="0" w:space="0" w:color="auto"/>
        <w:right w:val="none" w:sz="0" w:space="0" w:color="auto"/>
      </w:divBdr>
      <w:divsChild>
        <w:div w:id="1508524352">
          <w:marLeft w:val="0"/>
          <w:marRight w:val="0"/>
          <w:marTop w:val="0"/>
          <w:marBottom w:val="0"/>
          <w:divBdr>
            <w:top w:val="none" w:sz="0" w:space="0" w:color="auto"/>
            <w:left w:val="none" w:sz="0" w:space="0" w:color="auto"/>
            <w:bottom w:val="none" w:sz="0" w:space="0" w:color="auto"/>
            <w:right w:val="none" w:sz="0" w:space="0" w:color="auto"/>
          </w:divBdr>
        </w:div>
      </w:divsChild>
    </w:div>
    <w:div w:id="1038358743">
      <w:bodyDiv w:val="1"/>
      <w:marLeft w:val="0"/>
      <w:marRight w:val="0"/>
      <w:marTop w:val="0"/>
      <w:marBottom w:val="0"/>
      <w:divBdr>
        <w:top w:val="none" w:sz="0" w:space="0" w:color="auto"/>
        <w:left w:val="none" w:sz="0" w:space="0" w:color="auto"/>
        <w:bottom w:val="none" w:sz="0" w:space="0" w:color="auto"/>
        <w:right w:val="none" w:sz="0" w:space="0" w:color="auto"/>
      </w:divBdr>
      <w:divsChild>
        <w:div w:id="1958755972">
          <w:marLeft w:val="0"/>
          <w:marRight w:val="0"/>
          <w:marTop w:val="0"/>
          <w:marBottom w:val="0"/>
          <w:divBdr>
            <w:top w:val="none" w:sz="0" w:space="0" w:color="auto"/>
            <w:left w:val="none" w:sz="0" w:space="0" w:color="auto"/>
            <w:bottom w:val="none" w:sz="0" w:space="0" w:color="auto"/>
            <w:right w:val="none" w:sz="0" w:space="0" w:color="auto"/>
          </w:divBdr>
        </w:div>
        <w:div w:id="1459180405">
          <w:marLeft w:val="0"/>
          <w:marRight w:val="0"/>
          <w:marTop w:val="0"/>
          <w:marBottom w:val="0"/>
          <w:divBdr>
            <w:top w:val="none" w:sz="0" w:space="0" w:color="auto"/>
            <w:left w:val="none" w:sz="0" w:space="0" w:color="auto"/>
            <w:bottom w:val="none" w:sz="0" w:space="0" w:color="auto"/>
            <w:right w:val="none" w:sz="0" w:space="0" w:color="auto"/>
          </w:divBdr>
        </w:div>
      </w:divsChild>
    </w:div>
    <w:div w:id="1050610239">
      <w:bodyDiv w:val="1"/>
      <w:marLeft w:val="0"/>
      <w:marRight w:val="0"/>
      <w:marTop w:val="0"/>
      <w:marBottom w:val="0"/>
      <w:divBdr>
        <w:top w:val="none" w:sz="0" w:space="0" w:color="auto"/>
        <w:left w:val="none" w:sz="0" w:space="0" w:color="auto"/>
        <w:bottom w:val="none" w:sz="0" w:space="0" w:color="auto"/>
        <w:right w:val="none" w:sz="0" w:space="0" w:color="auto"/>
      </w:divBdr>
      <w:divsChild>
        <w:div w:id="1540585149">
          <w:marLeft w:val="0"/>
          <w:marRight w:val="0"/>
          <w:marTop w:val="0"/>
          <w:marBottom w:val="0"/>
          <w:divBdr>
            <w:top w:val="none" w:sz="0" w:space="0" w:color="auto"/>
            <w:left w:val="none" w:sz="0" w:space="0" w:color="auto"/>
            <w:bottom w:val="none" w:sz="0" w:space="0" w:color="auto"/>
            <w:right w:val="none" w:sz="0" w:space="0" w:color="auto"/>
          </w:divBdr>
        </w:div>
        <w:div w:id="1663042124">
          <w:marLeft w:val="0"/>
          <w:marRight w:val="0"/>
          <w:marTop w:val="0"/>
          <w:marBottom w:val="0"/>
          <w:divBdr>
            <w:top w:val="none" w:sz="0" w:space="0" w:color="auto"/>
            <w:left w:val="none" w:sz="0" w:space="0" w:color="auto"/>
            <w:bottom w:val="none" w:sz="0" w:space="0" w:color="auto"/>
            <w:right w:val="none" w:sz="0" w:space="0" w:color="auto"/>
          </w:divBdr>
        </w:div>
        <w:div w:id="451440108">
          <w:marLeft w:val="0"/>
          <w:marRight w:val="0"/>
          <w:marTop w:val="0"/>
          <w:marBottom w:val="0"/>
          <w:divBdr>
            <w:top w:val="none" w:sz="0" w:space="0" w:color="auto"/>
            <w:left w:val="none" w:sz="0" w:space="0" w:color="auto"/>
            <w:bottom w:val="none" w:sz="0" w:space="0" w:color="auto"/>
            <w:right w:val="none" w:sz="0" w:space="0" w:color="auto"/>
          </w:divBdr>
        </w:div>
        <w:div w:id="850484013">
          <w:marLeft w:val="0"/>
          <w:marRight w:val="0"/>
          <w:marTop w:val="0"/>
          <w:marBottom w:val="0"/>
          <w:divBdr>
            <w:top w:val="none" w:sz="0" w:space="0" w:color="auto"/>
            <w:left w:val="none" w:sz="0" w:space="0" w:color="auto"/>
            <w:bottom w:val="none" w:sz="0" w:space="0" w:color="auto"/>
            <w:right w:val="none" w:sz="0" w:space="0" w:color="auto"/>
          </w:divBdr>
        </w:div>
        <w:div w:id="1826579651">
          <w:marLeft w:val="0"/>
          <w:marRight w:val="0"/>
          <w:marTop w:val="0"/>
          <w:marBottom w:val="0"/>
          <w:divBdr>
            <w:top w:val="none" w:sz="0" w:space="0" w:color="auto"/>
            <w:left w:val="none" w:sz="0" w:space="0" w:color="auto"/>
            <w:bottom w:val="none" w:sz="0" w:space="0" w:color="auto"/>
            <w:right w:val="none" w:sz="0" w:space="0" w:color="auto"/>
          </w:divBdr>
        </w:div>
        <w:div w:id="612638031">
          <w:marLeft w:val="0"/>
          <w:marRight w:val="0"/>
          <w:marTop w:val="0"/>
          <w:marBottom w:val="0"/>
          <w:divBdr>
            <w:top w:val="none" w:sz="0" w:space="0" w:color="auto"/>
            <w:left w:val="none" w:sz="0" w:space="0" w:color="auto"/>
            <w:bottom w:val="none" w:sz="0" w:space="0" w:color="auto"/>
            <w:right w:val="none" w:sz="0" w:space="0" w:color="auto"/>
          </w:divBdr>
        </w:div>
        <w:div w:id="1994673205">
          <w:marLeft w:val="0"/>
          <w:marRight w:val="0"/>
          <w:marTop w:val="0"/>
          <w:marBottom w:val="0"/>
          <w:divBdr>
            <w:top w:val="none" w:sz="0" w:space="0" w:color="auto"/>
            <w:left w:val="none" w:sz="0" w:space="0" w:color="auto"/>
            <w:bottom w:val="none" w:sz="0" w:space="0" w:color="auto"/>
            <w:right w:val="none" w:sz="0" w:space="0" w:color="auto"/>
          </w:divBdr>
        </w:div>
      </w:divsChild>
    </w:div>
    <w:div w:id="1077358491">
      <w:bodyDiv w:val="1"/>
      <w:marLeft w:val="0"/>
      <w:marRight w:val="0"/>
      <w:marTop w:val="0"/>
      <w:marBottom w:val="0"/>
      <w:divBdr>
        <w:top w:val="none" w:sz="0" w:space="0" w:color="auto"/>
        <w:left w:val="none" w:sz="0" w:space="0" w:color="auto"/>
        <w:bottom w:val="none" w:sz="0" w:space="0" w:color="auto"/>
        <w:right w:val="none" w:sz="0" w:space="0" w:color="auto"/>
      </w:divBdr>
    </w:div>
    <w:div w:id="1087460492">
      <w:bodyDiv w:val="1"/>
      <w:marLeft w:val="0"/>
      <w:marRight w:val="0"/>
      <w:marTop w:val="0"/>
      <w:marBottom w:val="0"/>
      <w:divBdr>
        <w:top w:val="none" w:sz="0" w:space="0" w:color="auto"/>
        <w:left w:val="none" w:sz="0" w:space="0" w:color="auto"/>
        <w:bottom w:val="none" w:sz="0" w:space="0" w:color="auto"/>
        <w:right w:val="none" w:sz="0" w:space="0" w:color="auto"/>
      </w:divBdr>
    </w:div>
    <w:div w:id="1090927157">
      <w:bodyDiv w:val="1"/>
      <w:marLeft w:val="0"/>
      <w:marRight w:val="0"/>
      <w:marTop w:val="0"/>
      <w:marBottom w:val="0"/>
      <w:divBdr>
        <w:top w:val="none" w:sz="0" w:space="0" w:color="auto"/>
        <w:left w:val="none" w:sz="0" w:space="0" w:color="auto"/>
        <w:bottom w:val="none" w:sz="0" w:space="0" w:color="auto"/>
        <w:right w:val="none" w:sz="0" w:space="0" w:color="auto"/>
      </w:divBdr>
    </w:div>
    <w:div w:id="1093430752">
      <w:bodyDiv w:val="1"/>
      <w:marLeft w:val="0"/>
      <w:marRight w:val="0"/>
      <w:marTop w:val="0"/>
      <w:marBottom w:val="0"/>
      <w:divBdr>
        <w:top w:val="none" w:sz="0" w:space="0" w:color="auto"/>
        <w:left w:val="none" w:sz="0" w:space="0" w:color="auto"/>
        <w:bottom w:val="none" w:sz="0" w:space="0" w:color="auto"/>
        <w:right w:val="none" w:sz="0" w:space="0" w:color="auto"/>
      </w:divBdr>
    </w:div>
    <w:div w:id="1129276541">
      <w:bodyDiv w:val="1"/>
      <w:marLeft w:val="0"/>
      <w:marRight w:val="0"/>
      <w:marTop w:val="0"/>
      <w:marBottom w:val="0"/>
      <w:divBdr>
        <w:top w:val="none" w:sz="0" w:space="0" w:color="auto"/>
        <w:left w:val="none" w:sz="0" w:space="0" w:color="auto"/>
        <w:bottom w:val="none" w:sz="0" w:space="0" w:color="auto"/>
        <w:right w:val="none" w:sz="0" w:space="0" w:color="auto"/>
      </w:divBdr>
    </w:div>
    <w:div w:id="1154571124">
      <w:bodyDiv w:val="1"/>
      <w:marLeft w:val="0"/>
      <w:marRight w:val="0"/>
      <w:marTop w:val="0"/>
      <w:marBottom w:val="0"/>
      <w:divBdr>
        <w:top w:val="none" w:sz="0" w:space="0" w:color="auto"/>
        <w:left w:val="none" w:sz="0" w:space="0" w:color="auto"/>
        <w:bottom w:val="none" w:sz="0" w:space="0" w:color="auto"/>
        <w:right w:val="none" w:sz="0" w:space="0" w:color="auto"/>
      </w:divBdr>
    </w:div>
    <w:div w:id="1166823235">
      <w:bodyDiv w:val="1"/>
      <w:marLeft w:val="0"/>
      <w:marRight w:val="0"/>
      <w:marTop w:val="0"/>
      <w:marBottom w:val="0"/>
      <w:divBdr>
        <w:top w:val="none" w:sz="0" w:space="0" w:color="auto"/>
        <w:left w:val="none" w:sz="0" w:space="0" w:color="auto"/>
        <w:bottom w:val="none" w:sz="0" w:space="0" w:color="auto"/>
        <w:right w:val="none" w:sz="0" w:space="0" w:color="auto"/>
      </w:divBdr>
      <w:divsChild>
        <w:div w:id="2140957191">
          <w:marLeft w:val="0"/>
          <w:marRight w:val="0"/>
          <w:marTop w:val="0"/>
          <w:marBottom w:val="0"/>
          <w:divBdr>
            <w:top w:val="none" w:sz="0" w:space="0" w:color="auto"/>
            <w:left w:val="none" w:sz="0" w:space="0" w:color="auto"/>
            <w:bottom w:val="none" w:sz="0" w:space="0" w:color="auto"/>
            <w:right w:val="none" w:sz="0" w:space="0" w:color="auto"/>
          </w:divBdr>
        </w:div>
        <w:div w:id="855775717">
          <w:marLeft w:val="0"/>
          <w:marRight w:val="0"/>
          <w:marTop w:val="0"/>
          <w:marBottom w:val="0"/>
          <w:divBdr>
            <w:top w:val="none" w:sz="0" w:space="0" w:color="auto"/>
            <w:left w:val="none" w:sz="0" w:space="0" w:color="auto"/>
            <w:bottom w:val="none" w:sz="0" w:space="0" w:color="auto"/>
            <w:right w:val="none" w:sz="0" w:space="0" w:color="auto"/>
          </w:divBdr>
        </w:div>
        <w:div w:id="1862158477">
          <w:marLeft w:val="0"/>
          <w:marRight w:val="0"/>
          <w:marTop w:val="0"/>
          <w:marBottom w:val="0"/>
          <w:divBdr>
            <w:top w:val="none" w:sz="0" w:space="0" w:color="auto"/>
            <w:left w:val="none" w:sz="0" w:space="0" w:color="auto"/>
            <w:bottom w:val="none" w:sz="0" w:space="0" w:color="auto"/>
            <w:right w:val="none" w:sz="0" w:space="0" w:color="auto"/>
          </w:divBdr>
        </w:div>
        <w:div w:id="1648896678">
          <w:marLeft w:val="0"/>
          <w:marRight w:val="0"/>
          <w:marTop w:val="0"/>
          <w:marBottom w:val="0"/>
          <w:divBdr>
            <w:top w:val="none" w:sz="0" w:space="0" w:color="auto"/>
            <w:left w:val="none" w:sz="0" w:space="0" w:color="auto"/>
            <w:bottom w:val="none" w:sz="0" w:space="0" w:color="auto"/>
            <w:right w:val="none" w:sz="0" w:space="0" w:color="auto"/>
          </w:divBdr>
        </w:div>
        <w:div w:id="975330302">
          <w:marLeft w:val="0"/>
          <w:marRight w:val="0"/>
          <w:marTop w:val="0"/>
          <w:marBottom w:val="0"/>
          <w:divBdr>
            <w:top w:val="none" w:sz="0" w:space="0" w:color="auto"/>
            <w:left w:val="none" w:sz="0" w:space="0" w:color="auto"/>
            <w:bottom w:val="none" w:sz="0" w:space="0" w:color="auto"/>
            <w:right w:val="none" w:sz="0" w:space="0" w:color="auto"/>
          </w:divBdr>
        </w:div>
      </w:divsChild>
    </w:div>
    <w:div w:id="1177813910">
      <w:bodyDiv w:val="1"/>
      <w:marLeft w:val="0"/>
      <w:marRight w:val="0"/>
      <w:marTop w:val="0"/>
      <w:marBottom w:val="0"/>
      <w:divBdr>
        <w:top w:val="none" w:sz="0" w:space="0" w:color="auto"/>
        <w:left w:val="none" w:sz="0" w:space="0" w:color="auto"/>
        <w:bottom w:val="none" w:sz="0" w:space="0" w:color="auto"/>
        <w:right w:val="none" w:sz="0" w:space="0" w:color="auto"/>
      </w:divBdr>
    </w:div>
    <w:div w:id="1215697943">
      <w:bodyDiv w:val="1"/>
      <w:marLeft w:val="0"/>
      <w:marRight w:val="0"/>
      <w:marTop w:val="0"/>
      <w:marBottom w:val="0"/>
      <w:divBdr>
        <w:top w:val="none" w:sz="0" w:space="0" w:color="auto"/>
        <w:left w:val="none" w:sz="0" w:space="0" w:color="auto"/>
        <w:bottom w:val="none" w:sz="0" w:space="0" w:color="auto"/>
        <w:right w:val="none" w:sz="0" w:space="0" w:color="auto"/>
      </w:divBdr>
      <w:divsChild>
        <w:div w:id="1778481061">
          <w:marLeft w:val="0"/>
          <w:marRight w:val="0"/>
          <w:marTop w:val="0"/>
          <w:marBottom w:val="0"/>
          <w:divBdr>
            <w:top w:val="none" w:sz="0" w:space="0" w:color="auto"/>
            <w:left w:val="none" w:sz="0" w:space="0" w:color="auto"/>
            <w:bottom w:val="none" w:sz="0" w:space="0" w:color="auto"/>
            <w:right w:val="none" w:sz="0" w:space="0" w:color="auto"/>
          </w:divBdr>
        </w:div>
        <w:div w:id="413208075">
          <w:marLeft w:val="0"/>
          <w:marRight w:val="0"/>
          <w:marTop w:val="0"/>
          <w:marBottom w:val="0"/>
          <w:divBdr>
            <w:top w:val="none" w:sz="0" w:space="0" w:color="auto"/>
            <w:left w:val="none" w:sz="0" w:space="0" w:color="auto"/>
            <w:bottom w:val="none" w:sz="0" w:space="0" w:color="auto"/>
            <w:right w:val="none" w:sz="0" w:space="0" w:color="auto"/>
          </w:divBdr>
        </w:div>
      </w:divsChild>
    </w:div>
    <w:div w:id="1238130629">
      <w:bodyDiv w:val="1"/>
      <w:marLeft w:val="0"/>
      <w:marRight w:val="0"/>
      <w:marTop w:val="0"/>
      <w:marBottom w:val="0"/>
      <w:divBdr>
        <w:top w:val="none" w:sz="0" w:space="0" w:color="auto"/>
        <w:left w:val="none" w:sz="0" w:space="0" w:color="auto"/>
        <w:bottom w:val="none" w:sz="0" w:space="0" w:color="auto"/>
        <w:right w:val="none" w:sz="0" w:space="0" w:color="auto"/>
      </w:divBdr>
    </w:div>
    <w:div w:id="1250965371">
      <w:bodyDiv w:val="1"/>
      <w:marLeft w:val="0"/>
      <w:marRight w:val="0"/>
      <w:marTop w:val="0"/>
      <w:marBottom w:val="0"/>
      <w:divBdr>
        <w:top w:val="none" w:sz="0" w:space="0" w:color="auto"/>
        <w:left w:val="none" w:sz="0" w:space="0" w:color="auto"/>
        <w:bottom w:val="none" w:sz="0" w:space="0" w:color="auto"/>
        <w:right w:val="none" w:sz="0" w:space="0" w:color="auto"/>
      </w:divBdr>
    </w:div>
    <w:div w:id="1263145060">
      <w:bodyDiv w:val="1"/>
      <w:marLeft w:val="0"/>
      <w:marRight w:val="0"/>
      <w:marTop w:val="0"/>
      <w:marBottom w:val="0"/>
      <w:divBdr>
        <w:top w:val="none" w:sz="0" w:space="0" w:color="auto"/>
        <w:left w:val="none" w:sz="0" w:space="0" w:color="auto"/>
        <w:bottom w:val="none" w:sz="0" w:space="0" w:color="auto"/>
        <w:right w:val="none" w:sz="0" w:space="0" w:color="auto"/>
      </w:divBdr>
    </w:div>
    <w:div w:id="1279527854">
      <w:bodyDiv w:val="1"/>
      <w:marLeft w:val="0"/>
      <w:marRight w:val="0"/>
      <w:marTop w:val="0"/>
      <w:marBottom w:val="0"/>
      <w:divBdr>
        <w:top w:val="none" w:sz="0" w:space="0" w:color="auto"/>
        <w:left w:val="none" w:sz="0" w:space="0" w:color="auto"/>
        <w:bottom w:val="none" w:sz="0" w:space="0" w:color="auto"/>
        <w:right w:val="none" w:sz="0" w:space="0" w:color="auto"/>
      </w:divBdr>
    </w:div>
    <w:div w:id="1303999952">
      <w:bodyDiv w:val="1"/>
      <w:marLeft w:val="0"/>
      <w:marRight w:val="0"/>
      <w:marTop w:val="0"/>
      <w:marBottom w:val="0"/>
      <w:divBdr>
        <w:top w:val="none" w:sz="0" w:space="0" w:color="auto"/>
        <w:left w:val="none" w:sz="0" w:space="0" w:color="auto"/>
        <w:bottom w:val="none" w:sz="0" w:space="0" w:color="auto"/>
        <w:right w:val="none" w:sz="0" w:space="0" w:color="auto"/>
      </w:divBdr>
    </w:div>
    <w:div w:id="1328248149">
      <w:bodyDiv w:val="1"/>
      <w:marLeft w:val="0"/>
      <w:marRight w:val="0"/>
      <w:marTop w:val="0"/>
      <w:marBottom w:val="0"/>
      <w:divBdr>
        <w:top w:val="none" w:sz="0" w:space="0" w:color="auto"/>
        <w:left w:val="none" w:sz="0" w:space="0" w:color="auto"/>
        <w:bottom w:val="none" w:sz="0" w:space="0" w:color="auto"/>
        <w:right w:val="none" w:sz="0" w:space="0" w:color="auto"/>
      </w:divBdr>
      <w:divsChild>
        <w:div w:id="2087071763">
          <w:marLeft w:val="0"/>
          <w:marRight w:val="0"/>
          <w:marTop w:val="0"/>
          <w:marBottom w:val="0"/>
          <w:divBdr>
            <w:top w:val="none" w:sz="0" w:space="0" w:color="auto"/>
            <w:left w:val="none" w:sz="0" w:space="0" w:color="auto"/>
            <w:bottom w:val="none" w:sz="0" w:space="0" w:color="auto"/>
            <w:right w:val="none" w:sz="0" w:space="0" w:color="auto"/>
          </w:divBdr>
          <w:divsChild>
            <w:div w:id="457653036">
              <w:marLeft w:val="0"/>
              <w:marRight w:val="0"/>
              <w:marTop w:val="0"/>
              <w:marBottom w:val="0"/>
              <w:divBdr>
                <w:top w:val="none" w:sz="0" w:space="0" w:color="auto"/>
                <w:left w:val="none" w:sz="0" w:space="0" w:color="auto"/>
                <w:bottom w:val="none" w:sz="0" w:space="0" w:color="auto"/>
                <w:right w:val="none" w:sz="0" w:space="0" w:color="auto"/>
              </w:divBdr>
            </w:div>
            <w:div w:id="818380519">
              <w:marLeft w:val="0"/>
              <w:marRight w:val="0"/>
              <w:marTop w:val="0"/>
              <w:marBottom w:val="0"/>
              <w:divBdr>
                <w:top w:val="none" w:sz="0" w:space="0" w:color="auto"/>
                <w:left w:val="none" w:sz="0" w:space="0" w:color="auto"/>
                <w:bottom w:val="none" w:sz="0" w:space="0" w:color="auto"/>
                <w:right w:val="none" w:sz="0" w:space="0" w:color="auto"/>
              </w:divBdr>
            </w:div>
            <w:div w:id="431049192">
              <w:marLeft w:val="0"/>
              <w:marRight w:val="0"/>
              <w:marTop w:val="0"/>
              <w:marBottom w:val="0"/>
              <w:divBdr>
                <w:top w:val="none" w:sz="0" w:space="0" w:color="auto"/>
                <w:left w:val="none" w:sz="0" w:space="0" w:color="auto"/>
                <w:bottom w:val="none" w:sz="0" w:space="0" w:color="auto"/>
                <w:right w:val="none" w:sz="0" w:space="0" w:color="auto"/>
              </w:divBdr>
            </w:div>
            <w:div w:id="1972438749">
              <w:marLeft w:val="0"/>
              <w:marRight w:val="0"/>
              <w:marTop w:val="0"/>
              <w:marBottom w:val="0"/>
              <w:divBdr>
                <w:top w:val="none" w:sz="0" w:space="0" w:color="auto"/>
                <w:left w:val="none" w:sz="0" w:space="0" w:color="auto"/>
                <w:bottom w:val="none" w:sz="0" w:space="0" w:color="auto"/>
                <w:right w:val="none" w:sz="0" w:space="0" w:color="auto"/>
              </w:divBdr>
            </w:div>
            <w:div w:id="1560435817">
              <w:marLeft w:val="0"/>
              <w:marRight w:val="0"/>
              <w:marTop w:val="0"/>
              <w:marBottom w:val="0"/>
              <w:divBdr>
                <w:top w:val="none" w:sz="0" w:space="0" w:color="auto"/>
                <w:left w:val="none" w:sz="0" w:space="0" w:color="auto"/>
                <w:bottom w:val="none" w:sz="0" w:space="0" w:color="auto"/>
                <w:right w:val="none" w:sz="0" w:space="0" w:color="auto"/>
              </w:divBdr>
            </w:div>
            <w:div w:id="1244031639">
              <w:marLeft w:val="0"/>
              <w:marRight w:val="0"/>
              <w:marTop w:val="0"/>
              <w:marBottom w:val="0"/>
              <w:divBdr>
                <w:top w:val="none" w:sz="0" w:space="0" w:color="auto"/>
                <w:left w:val="none" w:sz="0" w:space="0" w:color="auto"/>
                <w:bottom w:val="none" w:sz="0" w:space="0" w:color="auto"/>
                <w:right w:val="none" w:sz="0" w:space="0" w:color="auto"/>
              </w:divBdr>
            </w:div>
            <w:div w:id="1298341531">
              <w:marLeft w:val="0"/>
              <w:marRight w:val="0"/>
              <w:marTop w:val="0"/>
              <w:marBottom w:val="0"/>
              <w:divBdr>
                <w:top w:val="none" w:sz="0" w:space="0" w:color="auto"/>
                <w:left w:val="none" w:sz="0" w:space="0" w:color="auto"/>
                <w:bottom w:val="none" w:sz="0" w:space="0" w:color="auto"/>
                <w:right w:val="none" w:sz="0" w:space="0" w:color="auto"/>
              </w:divBdr>
            </w:div>
            <w:div w:id="756026359">
              <w:marLeft w:val="0"/>
              <w:marRight w:val="0"/>
              <w:marTop w:val="0"/>
              <w:marBottom w:val="0"/>
              <w:divBdr>
                <w:top w:val="none" w:sz="0" w:space="0" w:color="auto"/>
                <w:left w:val="none" w:sz="0" w:space="0" w:color="auto"/>
                <w:bottom w:val="none" w:sz="0" w:space="0" w:color="auto"/>
                <w:right w:val="none" w:sz="0" w:space="0" w:color="auto"/>
              </w:divBdr>
            </w:div>
            <w:div w:id="339814450">
              <w:marLeft w:val="0"/>
              <w:marRight w:val="0"/>
              <w:marTop w:val="0"/>
              <w:marBottom w:val="0"/>
              <w:divBdr>
                <w:top w:val="none" w:sz="0" w:space="0" w:color="auto"/>
                <w:left w:val="none" w:sz="0" w:space="0" w:color="auto"/>
                <w:bottom w:val="none" w:sz="0" w:space="0" w:color="auto"/>
                <w:right w:val="none" w:sz="0" w:space="0" w:color="auto"/>
              </w:divBdr>
            </w:div>
            <w:div w:id="426386393">
              <w:marLeft w:val="0"/>
              <w:marRight w:val="0"/>
              <w:marTop w:val="0"/>
              <w:marBottom w:val="0"/>
              <w:divBdr>
                <w:top w:val="none" w:sz="0" w:space="0" w:color="auto"/>
                <w:left w:val="none" w:sz="0" w:space="0" w:color="auto"/>
                <w:bottom w:val="none" w:sz="0" w:space="0" w:color="auto"/>
                <w:right w:val="none" w:sz="0" w:space="0" w:color="auto"/>
              </w:divBdr>
            </w:div>
            <w:div w:id="1070034422">
              <w:marLeft w:val="0"/>
              <w:marRight w:val="0"/>
              <w:marTop w:val="0"/>
              <w:marBottom w:val="0"/>
              <w:divBdr>
                <w:top w:val="none" w:sz="0" w:space="0" w:color="auto"/>
                <w:left w:val="none" w:sz="0" w:space="0" w:color="auto"/>
                <w:bottom w:val="none" w:sz="0" w:space="0" w:color="auto"/>
                <w:right w:val="none" w:sz="0" w:space="0" w:color="auto"/>
              </w:divBdr>
            </w:div>
            <w:div w:id="319693203">
              <w:marLeft w:val="0"/>
              <w:marRight w:val="0"/>
              <w:marTop w:val="0"/>
              <w:marBottom w:val="0"/>
              <w:divBdr>
                <w:top w:val="none" w:sz="0" w:space="0" w:color="auto"/>
                <w:left w:val="none" w:sz="0" w:space="0" w:color="auto"/>
                <w:bottom w:val="none" w:sz="0" w:space="0" w:color="auto"/>
                <w:right w:val="none" w:sz="0" w:space="0" w:color="auto"/>
              </w:divBdr>
            </w:div>
            <w:div w:id="129641369">
              <w:marLeft w:val="0"/>
              <w:marRight w:val="0"/>
              <w:marTop w:val="0"/>
              <w:marBottom w:val="0"/>
              <w:divBdr>
                <w:top w:val="none" w:sz="0" w:space="0" w:color="auto"/>
                <w:left w:val="none" w:sz="0" w:space="0" w:color="auto"/>
                <w:bottom w:val="none" w:sz="0" w:space="0" w:color="auto"/>
                <w:right w:val="none" w:sz="0" w:space="0" w:color="auto"/>
              </w:divBdr>
            </w:div>
            <w:div w:id="648677969">
              <w:marLeft w:val="0"/>
              <w:marRight w:val="0"/>
              <w:marTop w:val="0"/>
              <w:marBottom w:val="0"/>
              <w:divBdr>
                <w:top w:val="none" w:sz="0" w:space="0" w:color="auto"/>
                <w:left w:val="none" w:sz="0" w:space="0" w:color="auto"/>
                <w:bottom w:val="none" w:sz="0" w:space="0" w:color="auto"/>
                <w:right w:val="none" w:sz="0" w:space="0" w:color="auto"/>
              </w:divBdr>
            </w:div>
            <w:div w:id="1623223371">
              <w:marLeft w:val="0"/>
              <w:marRight w:val="0"/>
              <w:marTop w:val="0"/>
              <w:marBottom w:val="0"/>
              <w:divBdr>
                <w:top w:val="none" w:sz="0" w:space="0" w:color="auto"/>
                <w:left w:val="none" w:sz="0" w:space="0" w:color="auto"/>
                <w:bottom w:val="none" w:sz="0" w:space="0" w:color="auto"/>
                <w:right w:val="none" w:sz="0" w:space="0" w:color="auto"/>
              </w:divBdr>
            </w:div>
            <w:div w:id="798305900">
              <w:marLeft w:val="0"/>
              <w:marRight w:val="0"/>
              <w:marTop w:val="0"/>
              <w:marBottom w:val="0"/>
              <w:divBdr>
                <w:top w:val="none" w:sz="0" w:space="0" w:color="auto"/>
                <w:left w:val="none" w:sz="0" w:space="0" w:color="auto"/>
                <w:bottom w:val="none" w:sz="0" w:space="0" w:color="auto"/>
                <w:right w:val="none" w:sz="0" w:space="0" w:color="auto"/>
              </w:divBdr>
            </w:div>
            <w:div w:id="114637805">
              <w:marLeft w:val="0"/>
              <w:marRight w:val="0"/>
              <w:marTop w:val="0"/>
              <w:marBottom w:val="0"/>
              <w:divBdr>
                <w:top w:val="none" w:sz="0" w:space="0" w:color="auto"/>
                <w:left w:val="none" w:sz="0" w:space="0" w:color="auto"/>
                <w:bottom w:val="none" w:sz="0" w:space="0" w:color="auto"/>
                <w:right w:val="none" w:sz="0" w:space="0" w:color="auto"/>
              </w:divBdr>
            </w:div>
            <w:div w:id="858559">
              <w:marLeft w:val="0"/>
              <w:marRight w:val="0"/>
              <w:marTop w:val="0"/>
              <w:marBottom w:val="0"/>
              <w:divBdr>
                <w:top w:val="none" w:sz="0" w:space="0" w:color="auto"/>
                <w:left w:val="none" w:sz="0" w:space="0" w:color="auto"/>
                <w:bottom w:val="none" w:sz="0" w:space="0" w:color="auto"/>
                <w:right w:val="none" w:sz="0" w:space="0" w:color="auto"/>
              </w:divBdr>
            </w:div>
            <w:div w:id="1375351198">
              <w:marLeft w:val="0"/>
              <w:marRight w:val="0"/>
              <w:marTop w:val="0"/>
              <w:marBottom w:val="0"/>
              <w:divBdr>
                <w:top w:val="none" w:sz="0" w:space="0" w:color="auto"/>
                <w:left w:val="none" w:sz="0" w:space="0" w:color="auto"/>
                <w:bottom w:val="none" w:sz="0" w:space="0" w:color="auto"/>
                <w:right w:val="none" w:sz="0" w:space="0" w:color="auto"/>
              </w:divBdr>
            </w:div>
            <w:div w:id="431362649">
              <w:marLeft w:val="0"/>
              <w:marRight w:val="0"/>
              <w:marTop w:val="0"/>
              <w:marBottom w:val="0"/>
              <w:divBdr>
                <w:top w:val="none" w:sz="0" w:space="0" w:color="auto"/>
                <w:left w:val="none" w:sz="0" w:space="0" w:color="auto"/>
                <w:bottom w:val="none" w:sz="0" w:space="0" w:color="auto"/>
                <w:right w:val="none" w:sz="0" w:space="0" w:color="auto"/>
              </w:divBdr>
            </w:div>
            <w:div w:id="2091926610">
              <w:marLeft w:val="0"/>
              <w:marRight w:val="0"/>
              <w:marTop w:val="0"/>
              <w:marBottom w:val="0"/>
              <w:divBdr>
                <w:top w:val="none" w:sz="0" w:space="0" w:color="auto"/>
                <w:left w:val="none" w:sz="0" w:space="0" w:color="auto"/>
                <w:bottom w:val="none" w:sz="0" w:space="0" w:color="auto"/>
                <w:right w:val="none" w:sz="0" w:space="0" w:color="auto"/>
              </w:divBdr>
            </w:div>
            <w:div w:id="333731687">
              <w:marLeft w:val="0"/>
              <w:marRight w:val="0"/>
              <w:marTop w:val="0"/>
              <w:marBottom w:val="0"/>
              <w:divBdr>
                <w:top w:val="none" w:sz="0" w:space="0" w:color="auto"/>
                <w:left w:val="none" w:sz="0" w:space="0" w:color="auto"/>
                <w:bottom w:val="none" w:sz="0" w:space="0" w:color="auto"/>
                <w:right w:val="none" w:sz="0" w:space="0" w:color="auto"/>
              </w:divBdr>
            </w:div>
            <w:div w:id="973369801">
              <w:marLeft w:val="0"/>
              <w:marRight w:val="0"/>
              <w:marTop w:val="0"/>
              <w:marBottom w:val="0"/>
              <w:divBdr>
                <w:top w:val="none" w:sz="0" w:space="0" w:color="auto"/>
                <w:left w:val="none" w:sz="0" w:space="0" w:color="auto"/>
                <w:bottom w:val="none" w:sz="0" w:space="0" w:color="auto"/>
                <w:right w:val="none" w:sz="0" w:space="0" w:color="auto"/>
              </w:divBdr>
            </w:div>
            <w:div w:id="16300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31954">
      <w:bodyDiv w:val="1"/>
      <w:marLeft w:val="0"/>
      <w:marRight w:val="0"/>
      <w:marTop w:val="0"/>
      <w:marBottom w:val="0"/>
      <w:divBdr>
        <w:top w:val="none" w:sz="0" w:space="0" w:color="auto"/>
        <w:left w:val="none" w:sz="0" w:space="0" w:color="auto"/>
        <w:bottom w:val="none" w:sz="0" w:space="0" w:color="auto"/>
        <w:right w:val="none" w:sz="0" w:space="0" w:color="auto"/>
      </w:divBdr>
    </w:div>
    <w:div w:id="1354186407">
      <w:bodyDiv w:val="1"/>
      <w:marLeft w:val="0"/>
      <w:marRight w:val="0"/>
      <w:marTop w:val="0"/>
      <w:marBottom w:val="0"/>
      <w:divBdr>
        <w:top w:val="none" w:sz="0" w:space="0" w:color="auto"/>
        <w:left w:val="none" w:sz="0" w:space="0" w:color="auto"/>
        <w:bottom w:val="none" w:sz="0" w:space="0" w:color="auto"/>
        <w:right w:val="none" w:sz="0" w:space="0" w:color="auto"/>
      </w:divBdr>
    </w:div>
    <w:div w:id="1367098413">
      <w:bodyDiv w:val="1"/>
      <w:marLeft w:val="0"/>
      <w:marRight w:val="0"/>
      <w:marTop w:val="0"/>
      <w:marBottom w:val="0"/>
      <w:divBdr>
        <w:top w:val="none" w:sz="0" w:space="0" w:color="auto"/>
        <w:left w:val="none" w:sz="0" w:space="0" w:color="auto"/>
        <w:bottom w:val="none" w:sz="0" w:space="0" w:color="auto"/>
        <w:right w:val="none" w:sz="0" w:space="0" w:color="auto"/>
      </w:divBdr>
    </w:div>
    <w:div w:id="1369139208">
      <w:bodyDiv w:val="1"/>
      <w:marLeft w:val="0"/>
      <w:marRight w:val="0"/>
      <w:marTop w:val="0"/>
      <w:marBottom w:val="0"/>
      <w:divBdr>
        <w:top w:val="none" w:sz="0" w:space="0" w:color="auto"/>
        <w:left w:val="none" w:sz="0" w:space="0" w:color="auto"/>
        <w:bottom w:val="none" w:sz="0" w:space="0" w:color="auto"/>
        <w:right w:val="none" w:sz="0" w:space="0" w:color="auto"/>
      </w:divBdr>
    </w:div>
    <w:div w:id="1369145211">
      <w:bodyDiv w:val="1"/>
      <w:marLeft w:val="0"/>
      <w:marRight w:val="0"/>
      <w:marTop w:val="0"/>
      <w:marBottom w:val="0"/>
      <w:divBdr>
        <w:top w:val="none" w:sz="0" w:space="0" w:color="auto"/>
        <w:left w:val="none" w:sz="0" w:space="0" w:color="auto"/>
        <w:bottom w:val="none" w:sz="0" w:space="0" w:color="auto"/>
        <w:right w:val="none" w:sz="0" w:space="0" w:color="auto"/>
      </w:divBdr>
    </w:div>
    <w:div w:id="1384283989">
      <w:bodyDiv w:val="1"/>
      <w:marLeft w:val="0"/>
      <w:marRight w:val="0"/>
      <w:marTop w:val="0"/>
      <w:marBottom w:val="0"/>
      <w:divBdr>
        <w:top w:val="none" w:sz="0" w:space="0" w:color="auto"/>
        <w:left w:val="none" w:sz="0" w:space="0" w:color="auto"/>
        <w:bottom w:val="none" w:sz="0" w:space="0" w:color="auto"/>
        <w:right w:val="none" w:sz="0" w:space="0" w:color="auto"/>
      </w:divBdr>
    </w:div>
    <w:div w:id="1397558050">
      <w:bodyDiv w:val="1"/>
      <w:marLeft w:val="0"/>
      <w:marRight w:val="0"/>
      <w:marTop w:val="0"/>
      <w:marBottom w:val="0"/>
      <w:divBdr>
        <w:top w:val="none" w:sz="0" w:space="0" w:color="auto"/>
        <w:left w:val="none" w:sz="0" w:space="0" w:color="auto"/>
        <w:bottom w:val="none" w:sz="0" w:space="0" w:color="auto"/>
        <w:right w:val="none" w:sz="0" w:space="0" w:color="auto"/>
      </w:divBdr>
    </w:div>
    <w:div w:id="1415392164">
      <w:bodyDiv w:val="1"/>
      <w:marLeft w:val="0"/>
      <w:marRight w:val="0"/>
      <w:marTop w:val="0"/>
      <w:marBottom w:val="0"/>
      <w:divBdr>
        <w:top w:val="none" w:sz="0" w:space="0" w:color="auto"/>
        <w:left w:val="none" w:sz="0" w:space="0" w:color="auto"/>
        <w:bottom w:val="none" w:sz="0" w:space="0" w:color="auto"/>
        <w:right w:val="none" w:sz="0" w:space="0" w:color="auto"/>
      </w:divBdr>
      <w:divsChild>
        <w:div w:id="1533810446">
          <w:marLeft w:val="0"/>
          <w:marRight w:val="0"/>
          <w:marTop w:val="0"/>
          <w:marBottom w:val="0"/>
          <w:divBdr>
            <w:top w:val="none" w:sz="0" w:space="0" w:color="auto"/>
            <w:left w:val="none" w:sz="0" w:space="0" w:color="auto"/>
            <w:bottom w:val="none" w:sz="0" w:space="0" w:color="auto"/>
            <w:right w:val="none" w:sz="0" w:space="0" w:color="auto"/>
          </w:divBdr>
          <w:divsChild>
            <w:div w:id="18089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9315">
      <w:bodyDiv w:val="1"/>
      <w:marLeft w:val="0"/>
      <w:marRight w:val="0"/>
      <w:marTop w:val="0"/>
      <w:marBottom w:val="0"/>
      <w:divBdr>
        <w:top w:val="none" w:sz="0" w:space="0" w:color="auto"/>
        <w:left w:val="none" w:sz="0" w:space="0" w:color="auto"/>
        <w:bottom w:val="none" w:sz="0" w:space="0" w:color="auto"/>
        <w:right w:val="none" w:sz="0" w:space="0" w:color="auto"/>
      </w:divBdr>
      <w:divsChild>
        <w:div w:id="709184044">
          <w:marLeft w:val="0"/>
          <w:marRight w:val="0"/>
          <w:marTop w:val="0"/>
          <w:marBottom w:val="0"/>
          <w:divBdr>
            <w:top w:val="none" w:sz="0" w:space="0" w:color="auto"/>
            <w:left w:val="none" w:sz="0" w:space="0" w:color="auto"/>
            <w:bottom w:val="none" w:sz="0" w:space="0" w:color="auto"/>
            <w:right w:val="none" w:sz="0" w:space="0" w:color="auto"/>
          </w:divBdr>
        </w:div>
        <w:div w:id="685402901">
          <w:marLeft w:val="0"/>
          <w:marRight w:val="0"/>
          <w:marTop w:val="0"/>
          <w:marBottom w:val="0"/>
          <w:divBdr>
            <w:top w:val="none" w:sz="0" w:space="0" w:color="auto"/>
            <w:left w:val="none" w:sz="0" w:space="0" w:color="auto"/>
            <w:bottom w:val="none" w:sz="0" w:space="0" w:color="auto"/>
            <w:right w:val="none" w:sz="0" w:space="0" w:color="auto"/>
          </w:divBdr>
        </w:div>
        <w:div w:id="509762498">
          <w:marLeft w:val="0"/>
          <w:marRight w:val="0"/>
          <w:marTop w:val="0"/>
          <w:marBottom w:val="0"/>
          <w:divBdr>
            <w:top w:val="none" w:sz="0" w:space="0" w:color="auto"/>
            <w:left w:val="none" w:sz="0" w:space="0" w:color="auto"/>
            <w:bottom w:val="none" w:sz="0" w:space="0" w:color="auto"/>
            <w:right w:val="none" w:sz="0" w:space="0" w:color="auto"/>
          </w:divBdr>
        </w:div>
        <w:div w:id="1066294619">
          <w:marLeft w:val="0"/>
          <w:marRight w:val="0"/>
          <w:marTop w:val="0"/>
          <w:marBottom w:val="0"/>
          <w:divBdr>
            <w:top w:val="none" w:sz="0" w:space="0" w:color="auto"/>
            <w:left w:val="none" w:sz="0" w:space="0" w:color="auto"/>
            <w:bottom w:val="none" w:sz="0" w:space="0" w:color="auto"/>
            <w:right w:val="none" w:sz="0" w:space="0" w:color="auto"/>
          </w:divBdr>
        </w:div>
        <w:div w:id="134954801">
          <w:marLeft w:val="0"/>
          <w:marRight w:val="0"/>
          <w:marTop w:val="0"/>
          <w:marBottom w:val="0"/>
          <w:divBdr>
            <w:top w:val="none" w:sz="0" w:space="0" w:color="auto"/>
            <w:left w:val="none" w:sz="0" w:space="0" w:color="auto"/>
            <w:bottom w:val="none" w:sz="0" w:space="0" w:color="auto"/>
            <w:right w:val="none" w:sz="0" w:space="0" w:color="auto"/>
          </w:divBdr>
        </w:div>
      </w:divsChild>
    </w:div>
    <w:div w:id="1433164499">
      <w:bodyDiv w:val="1"/>
      <w:marLeft w:val="0"/>
      <w:marRight w:val="0"/>
      <w:marTop w:val="0"/>
      <w:marBottom w:val="0"/>
      <w:divBdr>
        <w:top w:val="none" w:sz="0" w:space="0" w:color="auto"/>
        <w:left w:val="none" w:sz="0" w:space="0" w:color="auto"/>
        <w:bottom w:val="none" w:sz="0" w:space="0" w:color="auto"/>
        <w:right w:val="none" w:sz="0" w:space="0" w:color="auto"/>
      </w:divBdr>
      <w:divsChild>
        <w:div w:id="1012075842">
          <w:marLeft w:val="0"/>
          <w:marRight w:val="0"/>
          <w:marTop w:val="0"/>
          <w:marBottom w:val="0"/>
          <w:divBdr>
            <w:top w:val="none" w:sz="0" w:space="0" w:color="auto"/>
            <w:left w:val="none" w:sz="0" w:space="0" w:color="auto"/>
            <w:bottom w:val="none" w:sz="0" w:space="0" w:color="auto"/>
            <w:right w:val="none" w:sz="0" w:space="0" w:color="auto"/>
          </w:divBdr>
          <w:divsChild>
            <w:div w:id="752899133">
              <w:marLeft w:val="0"/>
              <w:marRight w:val="0"/>
              <w:marTop w:val="0"/>
              <w:marBottom w:val="0"/>
              <w:divBdr>
                <w:top w:val="none" w:sz="0" w:space="0" w:color="auto"/>
                <w:left w:val="none" w:sz="0" w:space="0" w:color="auto"/>
                <w:bottom w:val="none" w:sz="0" w:space="0" w:color="auto"/>
                <w:right w:val="none" w:sz="0" w:space="0" w:color="auto"/>
              </w:divBdr>
              <w:divsChild>
                <w:div w:id="1277642026">
                  <w:marLeft w:val="0"/>
                  <w:marRight w:val="0"/>
                  <w:marTop w:val="0"/>
                  <w:marBottom w:val="0"/>
                  <w:divBdr>
                    <w:top w:val="none" w:sz="0" w:space="0" w:color="auto"/>
                    <w:left w:val="none" w:sz="0" w:space="0" w:color="auto"/>
                    <w:bottom w:val="none" w:sz="0" w:space="0" w:color="auto"/>
                    <w:right w:val="none" w:sz="0" w:space="0" w:color="auto"/>
                  </w:divBdr>
                </w:div>
                <w:div w:id="1313633469">
                  <w:marLeft w:val="0"/>
                  <w:marRight w:val="0"/>
                  <w:marTop w:val="0"/>
                  <w:marBottom w:val="0"/>
                  <w:divBdr>
                    <w:top w:val="none" w:sz="0" w:space="0" w:color="auto"/>
                    <w:left w:val="none" w:sz="0" w:space="0" w:color="auto"/>
                    <w:bottom w:val="none" w:sz="0" w:space="0" w:color="auto"/>
                    <w:right w:val="none" w:sz="0" w:space="0" w:color="auto"/>
                  </w:divBdr>
                  <w:divsChild>
                    <w:div w:id="1486624124">
                      <w:marLeft w:val="0"/>
                      <w:marRight w:val="0"/>
                      <w:marTop w:val="0"/>
                      <w:marBottom w:val="0"/>
                      <w:divBdr>
                        <w:top w:val="none" w:sz="0" w:space="0" w:color="auto"/>
                        <w:left w:val="none" w:sz="0" w:space="0" w:color="auto"/>
                        <w:bottom w:val="none" w:sz="0" w:space="0" w:color="auto"/>
                        <w:right w:val="none" w:sz="0" w:space="0" w:color="auto"/>
                      </w:divBdr>
                      <w:divsChild>
                        <w:div w:id="2055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16214">
          <w:marLeft w:val="0"/>
          <w:marRight w:val="0"/>
          <w:marTop w:val="0"/>
          <w:marBottom w:val="0"/>
          <w:divBdr>
            <w:top w:val="none" w:sz="0" w:space="0" w:color="auto"/>
            <w:left w:val="none" w:sz="0" w:space="0" w:color="auto"/>
            <w:bottom w:val="none" w:sz="0" w:space="0" w:color="auto"/>
            <w:right w:val="none" w:sz="0" w:space="0" w:color="auto"/>
          </w:divBdr>
          <w:divsChild>
            <w:div w:id="1701735457">
              <w:marLeft w:val="0"/>
              <w:marRight w:val="0"/>
              <w:marTop w:val="0"/>
              <w:marBottom w:val="0"/>
              <w:divBdr>
                <w:top w:val="none" w:sz="0" w:space="0" w:color="auto"/>
                <w:left w:val="none" w:sz="0" w:space="0" w:color="auto"/>
                <w:bottom w:val="none" w:sz="0" w:space="0" w:color="auto"/>
                <w:right w:val="none" w:sz="0" w:space="0" w:color="auto"/>
              </w:divBdr>
              <w:divsChild>
                <w:div w:id="1058631330">
                  <w:marLeft w:val="0"/>
                  <w:marRight w:val="0"/>
                  <w:marTop w:val="0"/>
                  <w:marBottom w:val="0"/>
                  <w:divBdr>
                    <w:top w:val="none" w:sz="0" w:space="0" w:color="auto"/>
                    <w:left w:val="none" w:sz="0" w:space="0" w:color="auto"/>
                    <w:bottom w:val="none" w:sz="0" w:space="0" w:color="auto"/>
                    <w:right w:val="none" w:sz="0" w:space="0" w:color="auto"/>
                  </w:divBdr>
                  <w:divsChild>
                    <w:div w:id="1102148475">
                      <w:marLeft w:val="0"/>
                      <w:marRight w:val="0"/>
                      <w:marTop w:val="0"/>
                      <w:marBottom w:val="0"/>
                      <w:divBdr>
                        <w:top w:val="none" w:sz="0" w:space="0" w:color="auto"/>
                        <w:left w:val="none" w:sz="0" w:space="0" w:color="auto"/>
                        <w:bottom w:val="none" w:sz="0" w:space="0" w:color="auto"/>
                        <w:right w:val="none" w:sz="0" w:space="0" w:color="auto"/>
                      </w:divBdr>
                      <w:divsChild>
                        <w:div w:id="930703983">
                          <w:marLeft w:val="0"/>
                          <w:marRight w:val="0"/>
                          <w:marTop w:val="0"/>
                          <w:marBottom w:val="0"/>
                          <w:divBdr>
                            <w:top w:val="none" w:sz="0" w:space="0" w:color="auto"/>
                            <w:left w:val="none" w:sz="0" w:space="0" w:color="auto"/>
                            <w:bottom w:val="none" w:sz="0" w:space="0" w:color="auto"/>
                            <w:right w:val="none" w:sz="0" w:space="0" w:color="auto"/>
                          </w:divBdr>
                        </w:div>
                      </w:divsChild>
                    </w:div>
                    <w:div w:id="14074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20062">
          <w:marLeft w:val="0"/>
          <w:marRight w:val="0"/>
          <w:marTop w:val="0"/>
          <w:marBottom w:val="0"/>
          <w:divBdr>
            <w:top w:val="none" w:sz="0" w:space="0" w:color="auto"/>
            <w:left w:val="none" w:sz="0" w:space="0" w:color="auto"/>
            <w:bottom w:val="none" w:sz="0" w:space="0" w:color="auto"/>
            <w:right w:val="none" w:sz="0" w:space="0" w:color="auto"/>
          </w:divBdr>
          <w:divsChild>
            <w:div w:id="1207375452">
              <w:marLeft w:val="0"/>
              <w:marRight w:val="0"/>
              <w:marTop w:val="0"/>
              <w:marBottom w:val="0"/>
              <w:divBdr>
                <w:top w:val="none" w:sz="0" w:space="0" w:color="auto"/>
                <w:left w:val="none" w:sz="0" w:space="0" w:color="auto"/>
                <w:bottom w:val="none" w:sz="0" w:space="0" w:color="auto"/>
                <w:right w:val="none" w:sz="0" w:space="0" w:color="auto"/>
              </w:divBdr>
              <w:divsChild>
                <w:div w:id="773980369">
                  <w:marLeft w:val="0"/>
                  <w:marRight w:val="0"/>
                  <w:marTop w:val="0"/>
                  <w:marBottom w:val="0"/>
                  <w:divBdr>
                    <w:top w:val="none" w:sz="0" w:space="0" w:color="auto"/>
                    <w:left w:val="none" w:sz="0" w:space="0" w:color="auto"/>
                    <w:bottom w:val="none" w:sz="0" w:space="0" w:color="auto"/>
                    <w:right w:val="none" w:sz="0" w:space="0" w:color="auto"/>
                  </w:divBdr>
                  <w:divsChild>
                    <w:div w:id="779642685">
                      <w:marLeft w:val="0"/>
                      <w:marRight w:val="0"/>
                      <w:marTop w:val="0"/>
                      <w:marBottom w:val="0"/>
                      <w:divBdr>
                        <w:top w:val="none" w:sz="0" w:space="0" w:color="auto"/>
                        <w:left w:val="none" w:sz="0" w:space="0" w:color="auto"/>
                        <w:bottom w:val="none" w:sz="0" w:space="0" w:color="auto"/>
                        <w:right w:val="none" w:sz="0" w:space="0" w:color="auto"/>
                      </w:divBdr>
                      <w:divsChild>
                        <w:div w:id="1614824370">
                          <w:marLeft w:val="0"/>
                          <w:marRight w:val="0"/>
                          <w:marTop w:val="0"/>
                          <w:marBottom w:val="0"/>
                          <w:divBdr>
                            <w:top w:val="none" w:sz="0" w:space="0" w:color="auto"/>
                            <w:left w:val="none" w:sz="0" w:space="0" w:color="auto"/>
                            <w:bottom w:val="none" w:sz="0" w:space="0" w:color="auto"/>
                            <w:right w:val="none" w:sz="0" w:space="0" w:color="auto"/>
                          </w:divBdr>
                          <w:divsChild>
                            <w:div w:id="2236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08880">
      <w:bodyDiv w:val="1"/>
      <w:marLeft w:val="0"/>
      <w:marRight w:val="0"/>
      <w:marTop w:val="0"/>
      <w:marBottom w:val="0"/>
      <w:divBdr>
        <w:top w:val="none" w:sz="0" w:space="0" w:color="auto"/>
        <w:left w:val="none" w:sz="0" w:space="0" w:color="auto"/>
        <w:bottom w:val="none" w:sz="0" w:space="0" w:color="auto"/>
        <w:right w:val="none" w:sz="0" w:space="0" w:color="auto"/>
      </w:divBdr>
    </w:div>
    <w:div w:id="1455713194">
      <w:bodyDiv w:val="1"/>
      <w:marLeft w:val="0"/>
      <w:marRight w:val="0"/>
      <w:marTop w:val="0"/>
      <w:marBottom w:val="0"/>
      <w:divBdr>
        <w:top w:val="none" w:sz="0" w:space="0" w:color="auto"/>
        <w:left w:val="none" w:sz="0" w:space="0" w:color="auto"/>
        <w:bottom w:val="none" w:sz="0" w:space="0" w:color="auto"/>
        <w:right w:val="none" w:sz="0" w:space="0" w:color="auto"/>
      </w:divBdr>
    </w:div>
    <w:div w:id="1480807484">
      <w:bodyDiv w:val="1"/>
      <w:marLeft w:val="0"/>
      <w:marRight w:val="0"/>
      <w:marTop w:val="0"/>
      <w:marBottom w:val="0"/>
      <w:divBdr>
        <w:top w:val="none" w:sz="0" w:space="0" w:color="auto"/>
        <w:left w:val="none" w:sz="0" w:space="0" w:color="auto"/>
        <w:bottom w:val="none" w:sz="0" w:space="0" w:color="auto"/>
        <w:right w:val="none" w:sz="0" w:space="0" w:color="auto"/>
      </w:divBdr>
    </w:div>
    <w:div w:id="1489245713">
      <w:bodyDiv w:val="1"/>
      <w:marLeft w:val="0"/>
      <w:marRight w:val="0"/>
      <w:marTop w:val="0"/>
      <w:marBottom w:val="0"/>
      <w:divBdr>
        <w:top w:val="none" w:sz="0" w:space="0" w:color="auto"/>
        <w:left w:val="none" w:sz="0" w:space="0" w:color="auto"/>
        <w:bottom w:val="none" w:sz="0" w:space="0" w:color="auto"/>
        <w:right w:val="none" w:sz="0" w:space="0" w:color="auto"/>
      </w:divBdr>
    </w:div>
    <w:div w:id="1499732663">
      <w:bodyDiv w:val="1"/>
      <w:marLeft w:val="0"/>
      <w:marRight w:val="0"/>
      <w:marTop w:val="0"/>
      <w:marBottom w:val="0"/>
      <w:divBdr>
        <w:top w:val="none" w:sz="0" w:space="0" w:color="auto"/>
        <w:left w:val="none" w:sz="0" w:space="0" w:color="auto"/>
        <w:bottom w:val="none" w:sz="0" w:space="0" w:color="auto"/>
        <w:right w:val="none" w:sz="0" w:space="0" w:color="auto"/>
      </w:divBdr>
    </w:div>
    <w:div w:id="1512187032">
      <w:bodyDiv w:val="1"/>
      <w:marLeft w:val="0"/>
      <w:marRight w:val="0"/>
      <w:marTop w:val="0"/>
      <w:marBottom w:val="0"/>
      <w:divBdr>
        <w:top w:val="none" w:sz="0" w:space="0" w:color="auto"/>
        <w:left w:val="none" w:sz="0" w:space="0" w:color="auto"/>
        <w:bottom w:val="none" w:sz="0" w:space="0" w:color="auto"/>
        <w:right w:val="none" w:sz="0" w:space="0" w:color="auto"/>
      </w:divBdr>
    </w:div>
    <w:div w:id="1534073213">
      <w:bodyDiv w:val="1"/>
      <w:marLeft w:val="0"/>
      <w:marRight w:val="0"/>
      <w:marTop w:val="0"/>
      <w:marBottom w:val="0"/>
      <w:divBdr>
        <w:top w:val="none" w:sz="0" w:space="0" w:color="auto"/>
        <w:left w:val="none" w:sz="0" w:space="0" w:color="auto"/>
        <w:bottom w:val="none" w:sz="0" w:space="0" w:color="auto"/>
        <w:right w:val="none" w:sz="0" w:space="0" w:color="auto"/>
      </w:divBdr>
    </w:div>
    <w:div w:id="1539855818">
      <w:bodyDiv w:val="1"/>
      <w:marLeft w:val="0"/>
      <w:marRight w:val="0"/>
      <w:marTop w:val="0"/>
      <w:marBottom w:val="0"/>
      <w:divBdr>
        <w:top w:val="none" w:sz="0" w:space="0" w:color="auto"/>
        <w:left w:val="none" w:sz="0" w:space="0" w:color="auto"/>
        <w:bottom w:val="none" w:sz="0" w:space="0" w:color="auto"/>
        <w:right w:val="none" w:sz="0" w:space="0" w:color="auto"/>
      </w:divBdr>
    </w:div>
    <w:div w:id="1547331078">
      <w:bodyDiv w:val="1"/>
      <w:marLeft w:val="0"/>
      <w:marRight w:val="0"/>
      <w:marTop w:val="0"/>
      <w:marBottom w:val="0"/>
      <w:divBdr>
        <w:top w:val="none" w:sz="0" w:space="0" w:color="auto"/>
        <w:left w:val="none" w:sz="0" w:space="0" w:color="auto"/>
        <w:bottom w:val="none" w:sz="0" w:space="0" w:color="auto"/>
        <w:right w:val="none" w:sz="0" w:space="0" w:color="auto"/>
      </w:divBdr>
    </w:div>
    <w:div w:id="1565293703">
      <w:bodyDiv w:val="1"/>
      <w:marLeft w:val="0"/>
      <w:marRight w:val="0"/>
      <w:marTop w:val="0"/>
      <w:marBottom w:val="0"/>
      <w:divBdr>
        <w:top w:val="none" w:sz="0" w:space="0" w:color="auto"/>
        <w:left w:val="none" w:sz="0" w:space="0" w:color="auto"/>
        <w:bottom w:val="none" w:sz="0" w:space="0" w:color="auto"/>
        <w:right w:val="none" w:sz="0" w:space="0" w:color="auto"/>
      </w:divBdr>
    </w:div>
    <w:div w:id="1576014163">
      <w:bodyDiv w:val="1"/>
      <w:marLeft w:val="0"/>
      <w:marRight w:val="0"/>
      <w:marTop w:val="0"/>
      <w:marBottom w:val="0"/>
      <w:divBdr>
        <w:top w:val="none" w:sz="0" w:space="0" w:color="auto"/>
        <w:left w:val="none" w:sz="0" w:space="0" w:color="auto"/>
        <w:bottom w:val="none" w:sz="0" w:space="0" w:color="auto"/>
        <w:right w:val="none" w:sz="0" w:space="0" w:color="auto"/>
      </w:divBdr>
      <w:divsChild>
        <w:div w:id="453595262">
          <w:marLeft w:val="0"/>
          <w:marRight w:val="0"/>
          <w:marTop w:val="0"/>
          <w:marBottom w:val="0"/>
          <w:divBdr>
            <w:top w:val="none" w:sz="0" w:space="0" w:color="auto"/>
            <w:left w:val="none" w:sz="0" w:space="0" w:color="auto"/>
            <w:bottom w:val="none" w:sz="0" w:space="0" w:color="auto"/>
            <w:right w:val="none" w:sz="0" w:space="0" w:color="auto"/>
          </w:divBdr>
          <w:divsChild>
            <w:div w:id="10382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3891">
      <w:bodyDiv w:val="1"/>
      <w:marLeft w:val="0"/>
      <w:marRight w:val="0"/>
      <w:marTop w:val="0"/>
      <w:marBottom w:val="0"/>
      <w:divBdr>
        <w:top w:val="none" w:sz="0" w:space="0" w:color="auto"/>
        <w:left w:val="none" w:sz="0" w:space="0" w:color="auto"/>
        <w:bottom w:val="none" w:sz="0" w:space="0" w:color="auto"/>
        <w:right w:val="none" w:sz="0" w:space="0" w:color="auto"/>
      </w:divBdr>
    </w:div>
    <w:div w:id="1602644513">
      <w:bodyDiv w:val="1"/>
      <w:marLeft w:val="0"/>
      <w:marRight w:val="0"/>
      <w:marTop w:val="0"/>
      <w:marBottom w:val="0"/>
      <w:divBdr>
        <w:top w:val="none" w:sz="0" w:space="0" w:color="auto"/>
        <w:left w:val="none" w:sz="0" w:space="0" w:color="auto"/>
        <w:bottom w:val="none" w:sz="0" w:space="0" w:color="auto"/>
        <w:right w:val="none" w:sz="0" w:space="0" w:color="auto"/>
      </w:divBdr>
    </w:div>
    <w:div w:id="1606764612">
      <w:bodyDiv w:val="1"/>
      <w:marLeft w:val="0"/>
      <w:marRight w:val="0"/>
      <w:marTop w:val="0"/>
      <w:marBottom w:val="0"/>
      <w:divBdr>
        <w:top w:val="none" w:sz="0" w:space="0" w:color="auto"/>
        <w:left w:val="none" w:sz="0" w:space="0" w:color="auto"/>
        <w:bottom w:val="none" w:sz="0" w:space="0" w:color="auto"/>
        <w:right w:val="none" w:sz="0" w:space="0" w:color="auto"/>
      </w:divBdr>
      <w:divsChild>
        <w:div w:id="1419710033">
          <w:marLeft w:val="0"/>
          <w:marRight w:val="0"/>
          <w:marTop w:val="0"/>
          <w:marBottom w:val="0"/>
          <w:divBdr>
            <w:top w:val="none" w:sz="0" w:space="0" w:color="auto"/>
            <w:left w:val="none" w:sz="0" w:space="0" w:color="auto"/>
            <w:bottom w:val="none" w:sz="0" w:space="0" w:color="auto"/>
            <w:right w:val="none" w:sz="0" w:space="0" w:color="auto"/>
          </w:divBdr>
          <w:divsChild>
            <w:div w:id="19307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894">
      <w:bodyDiv w:val="1"/>
      <w:marLeft w:val="0"/>
      <w:marRight w:val="0"/>
      <w:marTop w:val="0"/>
      <w:marBottom w:val="0"/>
      <w:divBdr>
        <w:top w:val="none" w:sz="0" w:space="0" w:color="auto"/>
        <w:left w:val="none" w:sz="0" w:space="0" w:color="auto"/>
        <w:bottom w:val="none" w:sz="0" w:space="0" w:color="auto"/>
        <w:right w:val="none" w:sz="0" w:space="0" w:color="auto"/>
      </w:divBdr>
    </w:div>
    <w:div w:id="1632009924">
      <w:bodyDiv w:val="1"/>
      <w:marLeft w:val="0"/>
      <w:marRight w:val="0"/>
      <w:marTop w:val="0"/>
      <w:marBottom w:val="0"/>
      <w:divBdr>
        <w:top w:val="none" w:sz="0" w:space="0" w:color="auto"/>
        <w:left w:val="none" w:sz="0" w:space="0" w:color="auto"/>
        <w:bottom w:val="none" w:sz="0" w:space="0" w:color="auto"/>
        <w:right w:val="none" w:sz="0" w:space="0" w:color="auto"/>
      </w:divBdr>
    </w:div>
    <w:div w:id="1634484411">
      <w:bodyDiv w:val="1"/>
      <w:marLeft w:val="0"/>
      <w:marRight w:val="0"/>
      <w:marTop w:val="0"/>
      <w:marBottom w:val="0"/>
      <w:divBdr>
        <w:top w:val="none" w:sz="0" w:space="0" w:color="auto"/>
        <w:left w:val="none" w:sz="0" w:space="0" w:color="auto"/>
        <w:bottom w:val="none" w:sz="0" w:space="0" w:color="auto"/>
        <w:right w:val="none" w:sz="0" w:space="0" w:color="auto"/>
      </w:divBdr>
    </w:div>
    <w:div w:id="1662388871">
      <w:bodyDiv w:val="1"/>
      <w:marLeft w:val="0"/>
      <w:marRight w:val="0"/>
      <w:marTop w:val="0"/>
      <w:marBottom w:val="0"/>
      <w:divBdr>
        <w:top w:val="none" w:sz="0" w:space="0" w:color="auto"/>
        <w:left w:val="none" w:sz="0" w:space="0" w:color="auto"/>
        <w:bottom w:val="none" w:sz="0" w:space="0" w:color="auto"/>
        <w:right w:val="none" w:sz="0" w:space="0" w:color="auto"/>
      </w:divBdr>
      <w:divsChild>
        <w:div w:id="291595678">
          <w:marLeft w:val="0"/>
          <w:marRight w:val="0"/>
          <w:marTop w:val="0"/>
          <w:marBottom w:val="0"/>
          <w:divBdr>
            <w:top w:val="none" w:sz="0" w:space="0" w:color="auto"/>
            <w:left w:val="none" w:sz="0" w:space="0" w:color="auto"/>
            <w:bottom w:val="none" w:sz="0" w:space="0" w:color="auto"/>
            <w:right w:val="none" w:sz="0" w:space="0" w:color="auto"/>
          </w:divBdr>
          <w:divsChild>
            <w:div w:id="14848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4407">
      <w:bodyDiv w:val="1"/>
      <w:marLeft w:val="0"/>
      <w:marRight w:val="0"/>
      <w:marTop w:val="0"/>
      <w:marBottom w:val="0"/>
      <w:divBdr>
        <w:top w:val="none" w:sz="0" w:space="0" w:color="auto"/>
        <w:left w:val="none" w:sz="0" w:space="0" w:color="auto"/>
        <w:bottom w:val="none" w:sz="0" w:space="0" w:color="auto"/>
        <w:right w:val="none" w:sz="0" w:space="0" w:color="auto"/>
      </w:divBdr>
    </w:div>
    <w:div w:id="1672415555">
      <w:bodyDiv w:val="1"/>
      <w:marLeft w:val="0"/>
      <w:marRight w:val="0"/>
      <w:marTop w:val="0"/>
      <w:marBottom w:val="0"/>
      <w:divBdr>
        <w:top w:val="none" w:sz="0" w:space="0" w:color="auto"/>
        <w:left w:val="none" w:sz="0" w:space="0" w:color="auto"/>
        <w:bottom w:val="none" w:sz="0" w:space="0" w:color="auto"/>
        <w:right w:val="none" w:sz="0" w:space="0" w:color="auto"/>
      </w:divBdr>
    </w:div>
    <w:div w:id="1676883896">
      <w:bodyDiv w:val="1"/>
      <w:marLeft w:val="0"/>
      <w:marRight w:val="0"/>
      <w:marTop w:val="0"/>
      <w:marBottom w:val="0"/>
      <w:divBdr>
        <w:top w:val="none" w:sz="0" w:space="0" w:color="auto"/>
        <w:left w:val="none" w:sz="0" w:space="0" w:color="auto"/>
        <w:bottom w:val="none" w:sz="0" w:space="0" w:color="auto"/>
        <w:right w:val="none" w:sz="0" w:space="0" w:color="auto"/>
      </w:divBdr>
    </w:div>
    <w:div w:id="1680309162">
      <w:bodyDiv w:val="1"/>
      <w:marLeft w:val="0"/>
      <w:marRight w:val="0"/>
      <w:marTop w:val="0"/>
      <w:marBottom w:val="0"/>
      <w:divBdr>
        <w:top w:val="none" w:sz="0" w:space="0" w:color="auto"/>
        <w:left w:val="none" w:sz="0" w:space="0" w:color="auto"/>
        <w:bottom w:val="none" w:sz="0" w:space="0" w:color="auto"/>
        <w:right w:val="none" w:sz="0" w:space="0" w:color="auto"/>
      </w:divBdr>
    </w:div>
    <w:div w:id="1689330180">
      <w:bodyDiv w:val="1"/>
      <w:marLeft w:val="0"/>
      <w:marRight w:val="0"/>
      <w:marTop w:val="0"/>
      <w:marBottom w:val="0"/>
      <w:divBdr>
        <w:top w:val="none" w:sz="0" w:space="0" w:color="auto"/>
        <w:left w:val="none" w:sz="0" w:space="0" w:color="auto"/>
        <w:bottom w:val="none" w:sz="0" w:space="0" w:color="auto"/>
        <w:right w:val="none" w:sz="0" w:space="0" w:color="auto"/>
      </w:divBdr>
      <w:divsChild>
        <w:div w:id="2008900715">
          <w:marLeft w:val="0"/>
          <w:marRight w:val="0"/>
          <w:marTop w:val="0"/>
          <w:marBottom w:val="0"/>
          <w:divBdr>
            <w:top w:val="none" w:sz="0" w:space="0" w:color="auto"/>
            <w:left w:val="none" w:sz="0" w:space="0" w:color="auto"/>
            <w:bottom w:val="none" w:sz="0" w:space="0" w:color="auto"/>
            <w:right w:val="none" w:sz="0" w:space="0" w:color="auto"/>
          </w:divBdr>
          <w:divsChild>
            <w:div w:id="4621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8633">
      <w:bodyDiv w:val="1"/>
      <w:marLeft w:val="0"/>
      <w:marRight w:val="0"/>
      <w:marTop w:val="0"/>
      <w:marBottom w:val="0"/>
      <w:divBdr>
        <w:top w:val="none" w:sz="0" w:space="0" w:color="auto"/>
        <w:left w:val="none" w:sz="0" w:space="0" w:color="auto"/>
        <w:bottom w:val="none" w:sz="0" w:space="0" w:color="auto"/>
        <w:right w:val="none" w:sz="0" w:space="0" w:color="auto"/>
      </w:divBdr>
    </w:div>
    <w:div w:id="1689990969">
      <w:bodyDiv w:val="1"/>
      <w:marLeft w:val="0"/>
      <w:marRight w:val="0"/>
      <w:marTop w:val="0"/>
      <w:marBottom w:val="0"/>
      <w:divBdr>
        <w:top w:val="none" w:sz="0" w:space="0" w:color="auto"/>
        <w:left w:val="none" w:sz="0" w:space="0" w:color="auto"/>
        <w:bottom w:val="none" w:sz="0" w:space="0" w:color="auto"/>
        <w:right w:val="none" w:sz="0" w:space="0" w:color="auto"/>
      </w:divBdr>
      <w:divsChild>
        <w:div w:id="257718693">
          <w:marLeft w:val="0"/>
          <w:marRight w:val="0"/>
          <w:marTop w:val="0"/>
          <w:marBottom w:val="0"/>
          <w:divBdr>
            <w:top w:val="none" w:sz="0" w:space="0" w:color="auto"/>
            <w:left w:val="none" w:sz="0" w:space="0" w:color="auto"/>
            <w:bottom w:val="none" w:sz="0" w:space="0" w:color="auto"/>
            <w:right w:val="none" w:sz="0" w:space="0" w:color="auto"/>
          </w:divBdr>
        </w:div>
        <w:div w:id="1605069194">
          <w:marLeft w:val="0"/>
          <w:marRight w:val="0"/>
          <w:marTop w:val="0"/>
          <w:marBottom w:val="0"/>
          <w:divBdr>
            <w:top w:val="none" w:sz="0" w:space="0" w:color="auto"/>
            <w:left w:val="none" w:sz="0" w:space="0" w:color="auto"/>
            <w:bottom w:val="none" w:sz="0" w:space="0" w:color="auto"/>
            <w:right w:val="none" w:sz="0" w:space="0" w:color="auto"/>
          </w:divBdr>
        </w:div>
        <w:div w:id="2002537857">
          <w:marLeft w:val="0"/>
          <w:marRight w:val="0"/>
          <w:marTop w:val="0"/>
          <w:marBottom w:val="0"/>
          <w:divBdr>
            <w:top w:val="none" w:sz="0" w:space="0" w:color="auto"/>
            <w:left w:val="none" w:sz="0" w:space="0" w:color="auto"/>
            <w:bottom w:val="none" w:sz="0" w:space="0" w:color="auto"/>
            <w:right w:val="none" w:sz="0" w:space="0" w:color="auto"/>
          </w:divBdr>
        </w:div>
        <w:div w:id="1633905242">
          <w:marLeft w:val="0"/>
          <w:marRight w:val="0"/>
          <w:marTop w:val="0"/>
          <w:marBottom w:val="0"/>
          <w:divBdr>
            <w:top w:val="none" w:sz="0" w:space="0" w:color="auto"/>
            <w:left w:val="none" w:sz="0" w:space="0" w:color="auto"/>
            <w:bottom w:val="none" w:sz="0" w:space="0" w:color="auto"/>
            <w:right w:val="none" w:sz="0" w:space="0" w:color="auto"/>
          </w:divBdr>
        </w:div>
        <w:div w:id="522861894">
          <w:marLeft w:val="0"/>
          <w:marRight w:val="0"/>
          <w:marTop w:val="0"/>
          <w:marBottom w:val="0"/>
          <w:divBdr>
            <w:top w:val="none" w:sz="0" w:space="0" w:color="auto"/>
            <w:left w:val="none" w:sz="0" w:space="0" w:color="auto"/>
            <w:bottom w:val="none" w:sz="0" w:space="0" w:color="auto"/>
            <w:right w:val="none" w:sz="0" w:space="0" w:color="auto"/>
          </w:divBdr>
        </w:div>
        <w:div w:id="943538453">
          <w:marLeft w:val="0"/>
          <w:marRight w:val="0"/>
          <w:marTop w:val="0"/>
          <w:marBottom w:val="0"/>
          <w:divBdr>
            <w:top w:val="none" w:sz="0" w:space="0" w:color="auto"/>
            <w:left w:val="none" w:sz="0" w:space="0" w:color="auto"/>
            <w:bottom w:val="none" w:sz="0" w:space="0" w:color="auto"/>
            <w:right w:val="none" w:sz="0" w:space="0" w:color="auto"/>
          </w:divBdr>
        </w:div>
      </w:divsChild>
    </w:div>
    <w:div w:id="1696614175">
      <w:bodyDiv w:val="1"/>
      <w:marLeft w:val="0"/>
      <w:marRight w:val="0"/>
      <w:marTop w:val="0"/>
      <w:marBottom w:val="0"/>
      <w:divBdr>
        <w:top w:val="none" w:sz="0" w:space="0" w:color="auto"/>
        <w:left w:val="none" w:sz="0" w:space="0" w:color="auto"/>
        <w:bottom w:val="none" w:sz="0" w:space="0" w:color="auto"/>
        <w:right w:val="none" w:sz="0" w:space="0" w:color="auto"/>
      </w:divBdr>
      <w:divsChild>
        <w:div w:id="1961255166">
          <w:marLeft w:val="0"/>
          <w:marRight w:val="0"/>
          <w:marTop w:val="0"/>
          <w:marBottom w:val="0"/>
          <w:divBdr>
            <w:top w:val="none" w:sz="0" w:space="0" w:color="auto"/>
            <w:left w:val="none" w:sz="0" w:space="0" w:color="auto"/>
            <w:bottom w:val="none" w:sz="0" w:space="0" w:color="auto"/>
            <w:right w:val="none" w:sz="0" w:space="0" w:color="auto"/>
          </w:divBdr>
        </w:div>
        <w:div w:id="163057921">
          <w:marLeft w:val="0"/>
          <w:marRight w:val="0"/>
          <w:marTop w:val="0"/>
          <w:marBottom w:val="0"/>
          <w:divBdr>
            <w:top w:val="none" w:sz="0" w:space="0" w:color="auto"/>
            <w:left w:val="none" w:sz="0" w:space="0" w:color="auto"/>
            <w:bottom w:val="none" w:sz="0" w:space="0" w:color="auto"/>
            <w:right w:val="none" w:sz="0" w:space="0" w:color="auto"/>
          </w:divBdr>
        </w:div>
        <w:div w:id="1622221628">
          <w:marLeft w:val="0"/>
          <w:marRight w:val="0"/>
          <w:marTop w:val="0"/>
          <w:marBottom w:val="0"/>
          <w:divBdr>
            <w:top w:val="none" w:sz="0" w:space="0" w:color="auto"/>
            <w:left w:val="none" w:sz="0" w:space="0" w:color="auto"/>
            <w:bottom w:val="none" w:sz="0" w:space="0" w:color="auto"/>
            <w:right w:val="none" w:sz="0" w:space="0" w:color="auto"/>
          </w:divBdr>
        </w:div>
        <w:div w:id="1506898471">
          <w:marLeft w:val="0"/>
          <w:marRight w:val="0"/>
          <w:marTop w:val="0"/>
          <w:marBottom w:val="0"/>
          <w:divBdr>
            <w:top w:val="none" w:sz="0" w:space="0" w:color="auto"/>
            <w:left w:val="none" w:sz="0" w:space="0" w:color="auto"/>
            <w:bottom w:val="none" w:sz="0" w:space="0" w:color="auto"/>
            <w:right w:val="none" w:sz="0" w:space="0" w:color="auto"/>
          </w:divBdr>
        </w:div>
        <w:div w:id="1696038651">
          <w:marLeft w:val="0"/>
          <w:marRight w:val="0"/>
          <w:marTop w:val="0"/>
          <w:marBottom w:val="0"/>
          <w:divBdr>
            <w:top w:val="none" w:sz="0" w:space="0" w:color="auto"/>
            <w:left w:val="none" w:sz="0" w:space="0" w:color="auto"/>
            <w:bottom w:val="none" w:sz="0" w:space="0" w:color="auto"/>
            <w:right w:val="none" w:sz="0" w:space="0" w:color="auto"/>
          </w:divBdr>
        </w:div>
        <w:div w:id="20134733">
          <w:marLeft w:val="0"/>
          <w:marRight w:val="0"/>
          <w:marTop w:val="0"/>
          <w:marBottom w:val="0"/>
          <w:divBdr>
            <w:top w:val="none" w:sz="0" w:space="0" w:color="auto"/>
            <w:left w:val="none" w:sz="0" w:space="0" w:color="auto"/>
            <w:bottom w:val="none" w:sz="0" w:space="0" w:color="auto"/>
            <w:right w:val="none" w:sz="0" w:space="0" w:color="auto"/>
          </w:divBdr>
        </w:div>
        <w:div w:id="62534623">
          <w:marLeft w:val="0"/>
          <w:marRight w:val="0"/>
          <w:marTop w:val="0"/>
          <w:marBottom w:val="0"/>
          <w:divBdr>
            <w:top w:val="none" w:sz="0" w:space="0" w:color="auto"/>
            <w:left w:val="none" w:sz="0" w:space="0" w:color="auto"/>
            <w:bottom w:val="none" w:sz="0" w:space="0" w:color="auto"/>
            <w:right w:val="none" w:sz="0" w:space="0" w:color="auto"/>
          </w:divBdr>
        </w:div>
        <w:div w:id="279730625">
          <w:marLeft w:val="0"/>
          <w:marRight w:val="0"/>
          <w:marTop w:val="0"/>
          <w:marBottom w:val="0"/>
          <w:divBdr>
            <w:top w:val="none" w:sz="0" w:space="0" w:color="auto"/>
            <w:left w:val="none" w:sz="0" w:space="0" w:color="auto"/>
            <w:bottom w:val="none" w:sz="0" w:space="0" w:color="auto"/>
            <w:right w:val="none" w:sz="0" w:space="0" w:color="auto"/>
          </w:divBdr>
        </w:div>
      </w:divsChild>
    </w:div>
    <w:div w:id="1701927944">
      <w:bodyDiv w:val="1"/>
      <w:marLeft w:val="0"/>
      <w:marRight w:val="0"/>
      <w:marTop w:val="0"/>
      <w:marBottom w:val="0"/>
      <w:divBdr>
        <w:top w:val="none" w:sz="0" w:space="0" w:color="auto"/>
        <w:left w:val="none" w:sz="0" w:space="0" w:color="auto"/>
        <w:bottom w:val="none" w:sz="0" w:space="0" w:color="auto"/>
        <w:right w:val="none" w:sz="0" w:space="0" w:color="auto"/>
      </w:divBdr>
    </w:div>
    <w:div w:id="1714385825">
      <w:bodyDiv w:val="1"/>
      <w:marLeft w:val="0"/>
      <w:marRight w:val="0"/>
      <w:marTop w:val="0"/>
      <w:marBottom w:val="0"/>
      <w:divBdr>
        <w:top w:val="none" w:sz="0" w:space="0" w:color="auto"/>
        <w:left w:val="none" w:sz="0" w:space="0" w:color="auto"/>
        <w:bottom w:val="none" w:sz="0" w:space="0" w:color="auto"/>
        <w:right w:val="none" w:sz="0" w:space="0" w:color="auto"/>
      </w:divBdr>
    </w:div>
    <w:div w:id="1720128712">
      <w:bodyDiv w:val="1"/>
      <w:marLeft w:val="0"/>
      <w:marRight w:val="0"/>
      <w:marTop w:val="0"/>
      <w:marBottom w:val="0"/>
      <w:divBdr>
        <w:top w:val="none" w:sz="0" w:space="0" w:color="auto"/>
        <w:left w:val="none" w:sz="0" w:space="0" w:color="auto"/>
        <w:bottom w:val="none" w:sz="0" w:space="0" w:color="auto"/>
        <w:right w:val="none" w:sz="0" w:space="0" w:color="auto"/>
      </w:divBdr>
    </w:div>
    <w:div w:id="1736775971">
      <w:bodyDiv w:val="1"/>
      <w:marLeft w:val="0"/>
      <w:marRight w:val="0"/>
      <w:marTop w:val="0"/>
      <w:marBottom w:val="0"/>
      <w:divBdr>
        <w:top w:val="none" w:sz="0" w:space="0" w:color="auto"/>
        <w:left w:val="none" w:sz="0" w:space="0" w:color="auto"/>
        <w:bottom w:val="none" w:sz="0" w:space="0" w:color="auto"/>
        <w:right w:val="none" w:sz="0" w:space="0" w:color="auto"/>
      </w:divBdr>
    </w:div>
    <w:div w:id="1741635301">
      <w:bodyDiv w:val="1"/>
      <w:marLeft w:val="0"/>
      <w:marRight w:val="0"/>
      <w:marTop w:val="0"/>
      <w:marBottom w:val="0"/>
      <w:divBdr>
        <w:top w:val="none" w:sz="0" w:space="0" w:color="auto"/>
        <w:left w:val="none" w:sz="0" w:space="0" w:color="auto"/>
        <w:bottom w:val="none" w:sz="0" w:space="0" w:color="auto"/>
        <w:right w:val="none" w:sz="0" w:space="0" w:color="auto"/>
      </w:divBdr>
    </w:div>
    <w:div w:id="1750351565">
      <w:bodyDiv w:val="1"/>
      <w:marLeft w:val="0"/>
      <w:marRight w:val="0"/>
      <w:marTop w:val="0"/>
      <w:marBottom w:val="0"/>
      <w:divBdr>
        <w:top w:val="none" w:sz="0" w:space="0" w:color="auto"/>
        <w:left w:val="none" w:sz="0" w:space="0" w:color="auto"/>
        <w:bottom w:val="none" w:sz="0" w:space="0" w:color="auto"/>
        <w:right w:val="none" w:sz="0" w:space="0" w:color="auto"/>
      </w:divBdr>
    </w:div>
    <w:div w:id="1755929323">
      <w:bodyDiv w:val="1"/>
      <w:marLeft w:val="0"/>
      <w:marRight w:val="0"/>
      <w:marTop w:val="0"/>
      <w:marBottom w:val="0"/>
      <w:divBdr>
        <w:top w:val="none" w:sz="0" w:space="0" w:color="auto"/>
        <w:left w:val="none" w:sz="0" w:space="0" w:color="auto"/>
        <w:bottom w:val="none" w:sz="0" w:space="0" w:color="auto"/>
        <w:right w:val="none" w:sz="0" w:space="0" w:color="auto"/>
      </w:divBdr>
    </w:div>
    <w:div w:id="1756825741">
      <w:bodyDiv w:val="1"/>
      <w:marLeft w:val="0"/>
      <w:marRight w:val="0"/>
      <w:marTop w:val="0"/>
      <w:marBottom w:val="0"/>
      <w:divBdr>
        <w:top w:val="none" w:sz="0" w:space="0" w:color="auto"/>
        <w:left w:val="none" w:sz="0" w:space="0" w:color="auto"/>
        <w:bottom w:val="none" w:sz="0" w:space="0" w:color="auto"/>
        <w:right w:val="none" w:sz="0" w:space="0" w:color="auto"/>
      </w:divBdr>
    </w:div>
    <w:div w:id="1764647672">
      <w:bodyDiv w:val="1"/>
      <w:marLeft w:val="0"/>
      <w:marRight w:val="0"/>
      <w:marTop w:val="0"/>
      <w:marBottom w:val="0"/>
      <w:divBdr>
        <w:top w:val="none" w:sz="0" w:space="0" w:color="auto"/>
        <w:left w:val="none" w:sz="0" w:space="0" w:color="auto"/>
        <w:bottom w:val="none" w:sz="0" w:space="0" w:color="auto"/>
        <w:right w:val="none" w:sz="0" w:space="0" w:color="auto"/>
      </w:divBdr>
    </w:div>
    <w:div w:id="1778594010">
      <w:bodyDiv w:val="1"/>
      <w:marLeft w:val="0"/>
      <w:marRight w:val="0"/>
      <w:marTop w:val="0"/>
      <w:marBottom w:val="0"/>
      <w:divBdr>
        <w:top w:val="none" w:sz="0" w:space="0" w:color="auto"/>
        <w:left w:val="none" w:sz="0" w:space="0" w:color="auto"/>
        <w:bottom w:val="none" w:sz="0" w:space="0" w:color="auto"/>
        <w:right w:val="none" w:sz="0" w:space="0" w:color="auto"/>
      </w:divBdr>
    </w:div>
    <w:div w:id="1805732545">
      <w:bodyDiv w:val="1"/>
      <w:marLeft w:val="0"/>
      <w:marRight w:val="0"/>
      <w:marTop w:val="0"/>
      <w:marBottom w:val="0"/>
      <w:divBdr>
        <w:top w:val="none" w:sz="0" w:space="0" w:color="auto"/>
        <w:left w:val="none" w:sz="0" w:space="0" w:color="auto"/>
        <w:bottom w:val="none" w:sz="0" w:space="0" w:color="auto"/>
        <w:right w:val="none" w:sz="0" w:space="0" w:color="auto"/>
      </w:divBdr>
    </w:div>
    <w:div w:id="1806192576">
      <w:bodyDiv w:val="1"/>
      <w:marLeft w:val="0"/>
      <w:marRight w:val="0"/>
      <w:marTop w:val="0"/>
      <w:marBottom w:val="0"/>
      <w:divBdr>
        <w:top w:val="none" w:sz="0" w:space="0" w:color="auto"/>
        <w:left w:val="none" w:sz="0" w:space="0" w:color="auto"/>
        <w:bottom w:val="none" w:sz="0" w:space="0" w:color="auto"/>
        <w:right w:val="none" w:sz="0" w:space="0" w:color="auto"/>
      </w:divBdr>
    </w:div>
    <w:div w:id="1815219121">
      <w:bodyDiv w:val="1"/>
      <w:marLeft w:val="0"/>
      <w:marRight w:val="0"/>
      <w:marTop w:val="0"/>
      <w:marBottom w:val="0"/>
      <w:divBdr>
        <w:top w:val="none" w:sz="0" w:space="0" w:color="auto"/>
        <w:left w:val="none" w:sz="0" w:space="0" w:color="auto"/>
        <w:bottom w:val="none" w:sz="0" w:space="0" w:color="auto"/>
        <w:right w:val="none" w:sz="0" w:space="0" w:color="auto"/>
      </w:divBdr>
    </w:div>
    <w:div w:id="1823696687">
      <w:bodyDiv w:val="1"/>
      <w:marLeft w:val="0"/>
      <w:marRight w:val="0"/>
      <w:marTop w:val="0"/>
      <w:marBottom w:val="0"/>
      <w:divBdr>
        <w:top w:val="none" w:sz="0" w:space="0" w:color="auto"/>
        <w:left w:val="none" w:sz="0" w:space="0" w:color="auto"/>
        <w:bottom w:val="none" w:sz="0" w:space="0" w:color="auto"/>
        <w:right w:val="none" w:sz="0" w:space="0" w:color="auto"/>
      </w:divBdr>
    </w:div>
    <w:div w:id="1868398449">
      <w:bodyDiv w:val="1"/>
      <w:marLeft w:val="0"/>
      <w:marRight w:val="0"/>
      <w:marTop w:val="0"/>
      <w:marBottom w:val="0"/>
      <w:divBdr>
        <w:top w:val="none" w:sz="0" w:space="0" w:color="auto"/>
        <w:left w:val="none" w:sz="0" w:space="0" w:color="auto"/>
        <w:bottom w:val="none" w:sz="0" w:space="0" w:color="auto"/>
        <w:right w:val="none" w:sz="0" w:space="0" w:color="auto"/>
      </w:divBdr>
    </w:div>
    <w:div w:id="1876388289">
      <w:bodyDiv w:val="1"/>
      <w:marLeft w:val="0"/>
      <w:marRight w:val="0"/>
      <w:marTop w:val="0"/>
      <w:marBottom w:val="0"/>
      <w:divBdr>
        <w:top w:val="none" w:sz="0" w:space="0" w:color="auto"/>
        <w:left w:val="none" w:sz="0" w:space="0" w:color="auto"/>
        <w:bottom w:val="none" w:sz="0" w:space="0" w:color="auto"/>
        <w:right w:val="none" w:sz="0" w:space="0" w:color="auto"/>
      </w:divBdr>
    </w:div>
    <w:div w:id="1876577575">
      <w:bodyDiv w:val="1"/>
      <w:marLeft w:val="0"/>
      <w:marRight w:val="0"/>
      <w:marTop w:val="0"/>
      <w:marBottom w:val="0"/>
      <w:divBdr>
        <w:top w:val="none" w:sz="0" w:space="0" w:color="auto"/>
        <w:left w:val="none" w:sz="0" w:space="0" w:color="auto"/>
        <w:bottom w:val="none" w:sz="0" w:space="0" w:color="auto"/>
        <w:right w:val="none" w:sz="0" w:space="0" w:color="auto"/>
      </w:divBdr>
      <w:divsChild>
        <w:div w:id="710611642">
          <w:marLeft w:val="0"/>
          <w:marRight w:val="0"/>
          <w:marTop w:val="0"/>
          <w:marBottom w:val="0"/>
          <w:divBdr>
            <w:top w:val="none" w:sz="0" w:space="0" w:color="auto"/>
            <w:left w:val="none" w:sz="0" w:space="0" w:color="auto"/>
            <w:bottom w:val="none" w:sz="0" w:space="0" w:color="auto"/>
            <w:right w:val="none" w:sz="0" w:space="0" w:color="auto"/>
          </w:divBdr>
          <w:divsChild>
            <w:div w:id="18542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9931">
      <w:bodyDiv w:val="1"/>
      <w:marLeft w:val="0"/>
      <w:marRight w:val="0"/>
      <w:marTop w:val="0"/>
      <w:marBottom w:val="0"/>
      <w:divBdr>
        <w:top w:val="none" w:sz="0" w:space="0" w:color="auto"/>
        <w:left w:val="none" w:sz="0" w:space="0" w:color="auto"/>
        <w:bottom w:val="none" w:sz="0" w:space="0" w:color="auto"/>
        <w:right w:val="none" w:sz="0" w:space="0" w:color="auto"/>
      </w:divBdr>
    </w:div>
    <w:div w:id="1909143804">
      <w:bodyDiv w:val="1"/>
      <w:marLeft w:val="0"/>
      <w:marRight w:val="0"/>
      <w:marTop w:val="0"/>
      <w:marBottom w:val="0"/>
      <w:divBdr>
        <w:top w:val="none" w:sz="0" w:space="0" w:color="auto"/>
        <w:left w:val="none" w:sz="0" w:space="0" w:color="auto"/>
        <w:bottom w:val="none" w:sz="0" w:space="0" w:color="auto"/>
        <w:right w:val="none" w:sz="0" w:space="0" w:color="auto"/>
      </w:divBdr>
    </w:div>
    <w:div w:id="1929462483">
      <w:bodyDiv w:val="1"/>
      <w:marLeft w:val="0"/>
      <w:marRight w:val="0"/>
      <w:marTop w:val="0"/>
      <w:marBottom w:val="0"/>
      <w:divBdr>
        <w:top w:val="none" w:sz="0" w:space="0" w:color="auto"/>
        <w:left w:val="none" w:sz="0" w:space="0" w:color="auto"/>
        <w:bottom w:val="none" w:sz="0" w:space="0" w:color="auto"/>
        <w:right w:val="none" w:sz="0" w:space="0" w:color="auto"/>
      </w:divBdr>
      <w:divsChild>
        <w:div w:id="746654563">
          <w:marLeft w:val="0"/>
          <w:marRight w:val="0"/>
          <w:marTop w:val="0"/>
          <w:marBottom w:val="0"/>
          <w:divBdr>
            <w:top w:val="none" w:sz="0" w:space="0" w:color="auto"/>
            <w:left w:val="none" w:sz="0" w:space="0" w:color="auto"/>
            <w:bottom w:val="none" w:sz="0" w:space="0" w:color="auto"/>
            <w:right w:val="none" w:sz="0" w:space="0" w:color="auto"/>
          </w:divBdr>
        </w:div>
      </w:divsChild>
    </w:div>
    <w:div w:id="1945336501">
      <w:bodyDiv w:val="1"/>
      <w:marLeft w:val="0"/>
      <w:marRight w:val="0"/>
      <w:marTop w:val="0"/>
      <w:marBottom w:val="0"/>
      <w:divBdr>
        <w:top w:val="none" w:sz="0" w:space="0" w:color="auto"/>
        <w:left w:val="none" w:sz="0" w:space="0" w:color="auto"/>
        <w:bottom w:val="none" w:sz="0" w:space="0" w:color="auto"/>
        <w:right w:val="none" w:sz="0" w:space="0" w:color="auto"/>
      </w:divBdr>
    </w:div>
    <w:div w:id="2012639903">
      <w:bodyDiv w:val="1"/>
      <w:marLeft w:val="0"/>
      <w:marRight w:val="0"/>
      <w:marTop w:val="0"/>
      <w:marBottom w:val="0"/>
      <w:divBdr>
        <w:top w:val="none" w:sz="0" w:space="0" w:color="auto"/>
        <w:left w:val="none" w:sz="0" w:space="0" w:color="auto"/>
        <w:bottom w:val="none" w:sz="0" w:space="0" w:color="auto"/>
        <w:right w:val="none" w:sz="0" w:space="0" w:color="auto"/>
      </w:divBdr>
      <w:divsChild>
        <w:div w:id="798305003">
          <w:marLeft w:val="0"/>
          <w:marRight w:val="0"/>
          <w:marTop w:val="0"/>
          <w:marBottom w:val="0"/>
          <w:divBdr>
            <w:top w:val="none" w:sz="0" w:space="0" w:color="auto"/>
            <w:left w:val="none" w:sz="0" w:space="0" w:color="auto"/>
            <w:bottom w:val="none" w:sz="0" w:space="0" w:color="auto"/>
            <w:right w:val="none" w:sz="0" w:space="0" w:color="auto"/>
          </w:divBdr>
        </w:div>
      </w:divsChild>
    </w:div>
    <w:div w:id="2029671445">
      <w:bodyDiv w:val="1"/>
      <w:marLeft w:val="0"/>
      <w:marRight w:val="0"/>
      <w:marTop w:val="0"/>
      <w:marBottom w:val="0"/>
      <w:divBdr>
        <w:top w:val="none" w:sz="0" w:space="0" w:color="auto"/>
        <w:left w:val="none" w:sz="0" w:space="0" w:color="auto"/>
        <w:bottom w:val="none" w:sz="0" w:space="0" w:color="auto"/>
        <w:right w:val="none" w:sz="0" w:space="0" w:color="auto"/>
      </w:divBdr>
    </w:div>
    <w:div w:id="2031177143">
      <w:bodyDiv w:val="1"/>
      <w:marLeft w:val="0"/>
      <w:marRight w:val="0"/>
      <w:marTop w:val="0"/>
      <w:marBottom w:val="0"/>
      <w:divBdr>
        <w:top w:val="none" w:sz="0" w:space="0" w:color="auto"/>
        <w:left w:val="none" w:sz="0" w:space="0" w:color="auto"/>
        <w:bottom w:val="none" w:sz="0" w:space="0" w:color="auto"/>
        <w:right w:val="none" w:sz="0" w:space="0" w:color="auto"/>
      </w:divBdr>
      <w:divsChild>
        <w:div w:id="1140806849">
          <w:marLeft w:val="0"/>
          <w:marRight w:val="0"/>
          <w:marTop w:val="0"/>
          <w:marBottom w:val="0"/>
          <w:divBdr>
            <w:top w:val="none" w:sz="0" w:space="0" w:color="auto"/>
            <w:left w:val="none" w:sz="0" w:space="0" w:color="auto"/>
            <w:bottom w:val="none" w:sz="0" w:space="0" w:color="auto"/>
            <w:right w:val="none" w:sz="0" w:space="0" w:color="auto"/>
          </w:divBdr>
        </w:div>
      </w:divsChild>
    </w:div>
    <w:div w:id="2039308576">
      <w:bodyDiv w:val="1"/>
      <w:marLeft w:val="0"/>
      <w:marRight w:val="0"/>
      <w:marTop w:val="0"/>
      <w:marBottom w:val="0"/>
      <w:divBdr>
        <w:top w:val="none" w:sz="0" w:space="0" w:color="auto"/>
        <w:left w:val="none" w:sz="0" w:space="0" w:color="auto"/>
        <w:bottom w:val="none" w:sz="0" w:space="0" w:color="auto"/>
        <w:right w:val="none" w:sz="0" w:space="0" w:color="auto"/>
      </w:divBdr>
    </w:div>
    <w:div w:id="2046127945">
      <w:bodyDiv w:val="1"/>
      <w:marLeft w:val="0"/>
      <w:marRight w:val="0"/>
      <w:marTop w:val="0"/>
      <w:marBottom w:val="0"/>
      <w:divBdr>
        <w:top w:val="none" w:sz="0" w:space="0" w:color="auto"/>
        <w:left w:val="none" w:sz="0" w:space="0" w:color="auto"/>
        <w:bottom w:val="none" w:sz="0" w:space="0" w:color="auto"/>
        <w:right w:val="none" w:sz="0" w:space="0" w:color="auto"/>
      </w:divBdr>
      <w:divsChild>
        <w:div w:id="1664814398">
          <w:marLeft w:val="0"/>
          <w:marRight w:val="0"/>
          <w:marTop w:val="0"/>
          <w:marBottom w:val="0"/>
          <w:divBdr>
            <w:top w:val="none" w:sz="0" w:space="0" w:color="auto"/>
            <w:left w:val="none" w:sz="0" w:space="0" w:color="auto"/>
            <w:bottom w:val="none" w:sz="0" w:space="0" w:color="auto"/>
            <w:right w:val="none" w:sz="0" w:space="0" w:color="auto"/>
          </w:divBdr>
          <w:divsChild>
            <w:div w:id="7794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5834">
      <w:bodyDiv w:val="1"/>
      <w:marLeft w:val="0"/>
      <w:marRight w:val="0"/>
      <w:marTop w:val="0"/>
      <w:marBottom w:val="0"/>
      <w:divBdr>
        <w:top w:val="none" w:sz="0" w:space="0" w:color="auto"/>
        <w:left w:val="none" w:sz="0" w:space="0" w:color="auto"/>
        <w:bottom w:val="none" w:sz="0" w:space="0" w:color="auto"/>
        <w:right w:val="none" w:sz="0" w:space="0" w:color="auto"/>
      </w:divBdr>
    </w:div>
    <w:div w:id="2091462755">
      <w:bodyDiv w:val="1"/>
      <w:marLeft w:val="0"/>
      <w:marRight w:val="0"/>
      <w:marTop w:val="0"/>
      <w:marBottom w:val="0"/>
      <w:divBdr>
        <w:top w:val="none" w:sz="0" w:space="0" w:color="auto"/>
        <w:left w:val="none" w:sz="0" w:space="0" w:color="auto"/>
        <w:bottom w:val="none" w:sz="0" w:space="0" w:color="auto"/>
        <w:right w:val="none" w:sz="0" w:space="0" w:color="auto"/>
      </w:divBdr>
    </w:div>
    <w:div w:id="2097356620">
      <w:bodyDiv w:val="1"/>
      <w:marLeft w:val="0"/>
      <w:marRight w:val="0"/>
      <w:marTop w:val="0"/>
      <w:marBottom w:val="0"/>
      <w:divBdr>
        <w:top w:val="none" w:sz="0" w:space="0" w:color="auto"/>
        <w:left w:val="none" w:sz="0" w:space="0" w:color="auto"/>
        <w:bottom w:val="none" w:sz="0" w:space="0" w:color="auto"/>
        <w:right w:val="none" w:sz="0" w:space="0" w:color="auto"/>
      </w:divBdr>
      <w:divsChild>
        <w:div w:id="1042291147">
          <w:marLeft w:val="0"/>
          <w:marRight w:val="0"/>
          <w:marTop w:val="0"/>
          <w:marBottom w:val="0"/>
          <w:divBdr>
            <w:top w:val="none" w:sz="0" w:space="0" w:color="auto"/>
            <w:left w:val="none" w:sz="0" w:space="0" w:color="auto"/>
            <w:bottom w:val="none" w:sz="0" w:space="0" w:color="auto"/>
            <w:right w:val="none" w:sz="0" w:space="0" w:color="auto"/>
          </w:divBdr>
          <w:divsChild>
            <w:div w:id="19081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5991">
      <w:bodyDiv w:val="1"/>
      <w:marLeft w:val="0"/>
      <w:marRight w:val="0"/>
      <w:marTop w:val="0"/>
      <w:marBottom w:val="0"/>
      <w:divBdr>
        <w:top w:val="none" w:sz="0" w:space="0" w:color="auto"/>
        <w:left w:val="none" w:sz="0" w:space="0" w:color="auto"/>
        <w:bottom w:val="none" w:sz="0" w:space="0" w:color="auto"/>
        <w:right w:val="none" w:sz="0" w:space="0" w:color="auto"/>
      </w:divBdr>
    </w:div>
    <w:div w:id="2102870831">
      <w:bodyDiv w:val="1"/>
      <w:marLeft w:val="0"/>
      <w:marRight w:val="0"/>
      <w:marTop w:val="0"/>
      <w:marBottom w:val="0"/>
      <w:divBdr>
        <w:top w:val="none" w:sz="0" w:space="0" w:color="auto"/>
        <w:left w:val="none" w:sz="0" w:space="0" w:color="auto"/>
        <w:bottom w:val="none" w:sz="0" w:space="0" w:color="auto"/>
        <w:right w:val="none" w:sz="0" w:space="0" w:color="auto"/>
      </w:divBdr>
      <w:divsChild>
        <w:div w:id="1128088867">
          <w:marLeft w:val="0"/>
          <w:marRight w:val="0"/>
          <w:marTop w:val="0"/>
          <w:marBottom w:val="0"/>
          <w:divBdr>
            <w:top w:val="none" w:sz="0" w:space="0" w:color="auto"/>
            <w:left w:val="none" w:sz="0" w:space="0" w:color="auto"/>
            <w:bottom w:val="none" w:sz="0" w:space="0" w:color="auto"/>
            <w:right w:val="none" w:sz="0" w:space="0" w:color="auto"/>
          </w:divBdr>
          <w:divsChild>
            <w:div w:id="416244069">
              <w:marLeft w:val="0"/>
              <w:marRight w:val="0"/>
              <w:marTop w:val="0"/>
              <w:marBottom w:val="0"/>
              <w:divBdr>
                <w:top w:val="none" w:sz="0" w:space="0" w:color="auto"/>
                <w:left w:val="none" w:sz="0" w:space="0" w:color="auto"/>
                <w:bottom w:val="none" w:sz="0" w:space="0" w:color="auto"/>
                <w:right w:val="none" w:sz="0" w:space="0" w:color="auto"/>
              </w:divBdr>
              <w:divsChild>
                <w:div w:id="1791314202">
                  <w:marLeft w:val="0"/>
                  <w:marRight w:val="0"/>
                  <w:marTop w:val="0"/>
                  <w:marBottom w:val="0"/>
                  <w:divBdr>
                    <w:top w:val="none" w:sz="0" w:space="0" w:color="auto"/>
                    <w:left w:val="none" w:sz="0" w:space="0" w:color="auto"/>
                    <w:bottom w:val="none" w:sz="0" w:space="0" w:color="auto"/>
                    <w:right w:val="none" w:sz="0" w:space="0" w:color="auto"/>
                  </w:divBdr>
                </w:div>
              </w:divsChild>
            </w:div>
            <w:div w:id="308048959">
              <w:marLeft w:val="0"/>
              <w:marRight w:val="0"/>
              <w:marTop w:val="0"/>
              <w:marBottom w:val="0"/>
              <w:divBdr>
                <w:top w:val="none" w:sz="0" w:space="0" w:color="auto"/>
                <w:left w:val="none" w:sz="0" w:space="0" w:color="auto"/>
                <w:bottom w:val="none" w:sz="0" w:space="0" w:color="auto"/>
                <w:right w:val="none" w:sz="0" w:space="0" w:color="auto"/>
              </w:divBdr>
              <w:divsChild>
                <w:div w:id="1567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61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edom.org/wp-content/uploads/2016/04/TABLEAU-DE-BORD-FEDOM-MAJ-130217.pdf" TargetMode="External"/><Relationship Id="rId2" Type="http://schemas.openxmlformats.org/officeDocument/2006/relationships/hyperlink" Target="http://www.com-saint-martin.eu/La-presidence_Saint-Martin-Services_492.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55F9F2-3347-B642-B305-913D3DCB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6787</Words>
  <Characters>38890</Characters>
  <Application>Microsoft Macintosh Word</Application>
  <DocSecurity>0</DocSecurity>
  <Lines>589</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Blanc</dc:creator>
  <cp:keywords/>
  <dc:description/>
  <cp:lastModifiedBy>Didier Blanc</cp:lastModifiedBy>
  <cp:revision>8</cp:revision>
  <dcterms:created xsi:type="dcterms:W3CDTF">2017-12-11T11:16:00Z</dcterms:created>
  <dcterms:modified xsi:type="dcterms:W3CDTF">2019-07-09T11:31:00Z</dcterms:modified>
</cp:coreProperties>
</file>