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6495E" w14:textId="3FD57FDC" w:rsidR="00384EE3" w:rsidRDefault="00384EE3" w:rsidP="00454D63">
      <w:pPr>
        <w:pStyle w:val="Titre1"/>
      </w:pPr>
      <w:commentRangeStart w:id="0"/>
      <w:r w:rsidRPr="00384EE3">
        <w:t>Le</w:t>
      </w:r>
      <w:commentRangeEnd w:id="0"/>
      <w:r w:rsidR="00B72B4C">
        <w:rPr>
          <w:rStyle w:val="Marquedecommentaire"/>
          <w:rFonts w:eastAsiaTheme="minorHAnsi" w:cstheme="minorBidi"/>
          <w:b w:val="0"/>
          <w:bCs w:val="0"/>
          <w:i w:val="0"/>
        </w:rPr>
        <w:commentReference w:id="0"/>
      </w:r>
      <w:r w:rsidRPr="00384EE3">
        <w:t xml:space="preserve"> principe de reconnaissance mutuelle : </w:t>
      </w:r>
      <w:r>
        <w:br/>
      </w:r>
      <w:r w:rsidRPr="00384EE3">
        <w:t>un mécanisme d</w:t>
      </w:r>
      <w:r w:rsidR="005775D7">
        <w:t>’</w:t>
      </w:r>
      <w:r w:rsidRPr="00384EE3">
        <w:t xml:space="preserve">exception(s) </w:t>
      </w:r>
      <w:proofErr w:type="spellStart"/>
      <w:r w:rsidRPr="00384EE3">
        <w:t>multiscalaire</w:t>
      </w:r>
      <w:proofErr w:type="spellEnd"/>
      <w:r w:rsidRPr="00384EE3">
        <w:t xml:space="preserve"> au service d</w:t>
      </w:r>
      <w:r w:rsidR="005775D7">
        <w:t>’</w:t>
      </w:r>
      <w:r w:rsidR="007210E3">
        <w:t xml:space="preserve">une intégration </w:t>
      </w:r>
      <w:r w:rsidR="00953261">
        <w:t>différent</w:t>
      </w:r>
      <w:r w:rsidR="007210E3">
        <w:t>ielle</w:t>
      </w:r>
    </w:p>
    <w:p w14:paraId="5899865F" w14:textId="77777777" w:rsidR="00EB4B7C" w:rsidRDefault="00EB4B7C" w:rsidP="001D0054"/>
    <w:p w14:paraId="14C4C1A8" w14:textId="006AF335" w:rsidR="002964BB" w:rsidRDefault="00A31C28" w:rsidP="002964BB">
      <w:r>
        <w:tab/>
        <w:t>A travers</w:t>
      </w:r>
      <w:r w:rsidR="00624B80">
        <w:t xml:space="preserve"> </w:t>
      </w:r>
      <w:r w:rsidR="006C6BF6">
        <w:t>son œuvre philosophique</w:t>
      </w:r>
      <w:r>
        <w:t>,</w:t>
      </w:r>
      <w:r w:rsidR="00624B80">
        <w:t xml:space="preserve"> </w:t>
      </w:r>
      <w:r w:rsidR="00EB4B7C" w:rsidRPr="00EB4B7C">
        <w:t>Hegel fait le lien entre la reconnaissance mutuelle des individu</w:t>
      </w:r>
      <w:r w:rsidR="004343D7">
        <w:t>s et l</w:t>
      </w:r>
      <w:r w:rsidR="005775D7">
        <w:t>’</w:t>
      </w:r>
      <w:r w:rsidR="004343D7">
        <w:t>Etat, entendu comme l</w:t>
      </w:r>
      <w:r w:rsidR="005775D7">
        <w:t>’</w:t>
      </w:r>
      <w:r w:rsidR="00EB4B7C" w:rsidRPr="00EB4B7C">
        <w:t>espace po</w:t>
      </w:r>
      <w:r w:rsidR="004343D7">
        <w:t>litique</w:t>
      </w:r>
      <w:r w:rsidR="00624B80">
        <w:t xml:space="preserve"> </w:t>
      </w:r>
      <w:r w:rsidR="009902D2">
        <w:t>succédant</w:t>
      </w:r>
      <w:r w:rsidR="00624B80">
        <w:t xml:space="preserve"> à l</w:t>
      </w:r>
      <w:r w:rsidR="005775D7">
        <w:t>’</w:t>
      </w:r>
      <w:r w:rsidR="00624B80">
        <w:t>état de nature</w:t>
      </w:r>
      <w:r w:rsidRPr="004042BD">
        <w:rPr>
          <w:rStyle w:val="Appelnotedebasdep"/>
        </w:rPr>
        <w:footnoteReference w:id="1"/>
      </w:r>
      <w:r w:rsidR="00624B80">
        <w:t xml:space="preserve">. </w:t>
      </w:r>
      <w:r w:rsidR="00BA7D37" w:rsidRPr="00BA7D37">
        <w:t xml:space="preserve">La reconnaissance est en effet définie comme une relation pratique, une </w:t>
      </w:r>
      <w:r w:rsidR="00BA7D37" w:rsidRPr="009275F1">
        <w:rPr>
          <w:i/>
        </w:rPr>
        <w:t>praxis</w:t>
      </w:r>
      <w:r w:rsidR="00BA7D37" w:rsidRPr="00BA7D37">
        <w:t xml:space="preserve"> en vertu de laquelle on traite l</w:t>
      </w:r>
      <w:r w:rsidR="005775D7">
        <w:t>’</w:t>
      </w:r>
      <w:r w:rsidR="00BA7D37" w:rsidRPr="00BA7D37">
        <w:t xml:space="preserve">autre comme égal à soi-même. </w:t>
      </w:r>
      <w:r w:rsidR="002964BB">
        <w:t>Pour être reconnu, il faut que l</w:t>
      </w:r>
      <w:r w:rsidR="005775D7">
        <w:t>’</w:t>
      </w:r>
      <w:r w:rsidR="002964BB">
        <w:t xml:space="preserve">individu soit en relation avec des individus « identiques », </w:t>
      </w:r>
      <w:r w:rsidR="00CD38C4">
        <w:t>au sens où ils</w:t>
      </w:r>
      <w:r w:rsidR="002964BB">
        <w:t xml:space="preserve"> ont un même rapport aux choses, </w:t>
      </w:r>
      <w:r w:rsidR="007210E3">
        <w:t xml:space="preserve">ou du moins </w:t>
      </w:r>
      <w:r w:rsidR="002964BB" w:rsidRPr="00BC3E64">
        <w:t xml:space="preserve">une pratique </w:t>
      </w:r>
      <w:r w:rsidR="007210E3">
        <w:t>commensurable</w:t>
      </w:r>
      <w:r w:rsidR="002964BB" w:rsidRPr="00BC3E64">
        <w:t> :</w:t>
      </w:r>
      <w:r w:rsidR="002964BB">
        <w:t xml:space="preserve"> la reconnaissance mutuelle est </w:t>
      </w:r>
      <w:r w:rsidR="008C4E34">
        <w:t xml:space="preserve">ainsi </w:t>
      </w:r>
      <w:r w:rsidR="00181382">
        <w:t>un acte récognitif</w:t>
      </w:r>
      <w:r w:rsidR="002964BB">
        <w:t xml:space="preserve"> réciproque de ce que nous faisons dans le monde. </w:t>
      </w:r>
    </w:p>
    <w:p w14:paraId="5B460706" w14:textId="441A2721" w:rsidR="00B50DE9" w:rsidRDefault="00EA797F" w:rsidP="00EB4B7C">
      <w:r>
        <w:t>Il faut immédiatement ajouter deux précisions. D</w:t>
      </w:r>
      <w:r w:rsidR="005775D7">
        <w:t>’</w:t>
      </w:r>
      <w:r w:rsidR="002964BB">
        <w:t>une part,</w:t>
      </w:r>
      <w:r w:rsidR="00BA7D37" w:rsidRPr="00BA7D37">
        <w:t xml:space="preserve"> ceci ne peut</w:t>
      </w:r>
      <w:r w:rsidR="00AB5E4B">
        <w:t xml:space="preserve"> vraiment </w:t>
      </w:r>
      <w:r w:rsidR="00BA7D37" w:rsidRPr="00BA7D37">
        <w:t>se réaliser qu</w:t>
      </w:r>
      <w:r w:rsidR="005775D7">
        <w:t>’</w:t>
      </w:r>
      <w:r w:rsidR="00BA7D37" w:rsidRPr="00BA7D37">
        <w:t>au sein d</w:t>
      </w:r>
      <w:r w:rsidR="005775D7">
        <w:t>’</w:t>
      </w:r>
      <w:r w:rsidR="00BA7D37" w:rsidRPr="00BA7D37">
        <w:t>une société, dont l</w:t>
      </w:r>
      <w:r w:rsidR="005775D7">
        <w:t>’</w:t>
      </w:r>
      <w:r w:rsidR="00BA7D37" w:rsidRPr="00BA7D37">
        <w:t xml:space="preserve">existence </w:t>
      </w:r>
      <w:r w:rsidR="000C33E9">
        <w:t>favorise</w:t>
      </w:r>
      <w:r w:rsidR="00BA7D37" w:rsidRPr="00BA7D37">
        <w:t xml:space="preserve"> </w:t>
      </w:r>
      <w:r w:rsidR="000C33E9">
        <w:t>l</w:t>
      </w:r>
      <w:r w:rsidR="005775D7">
        <w:t>’</w:t>
      </w:r>
      <w:r w:rsidR="000C33E9">
        <w:t xml:space="preserve">expression et la réalisation de </w:t>
      </w:r>
      <w:r w:rsidR="007210E3">
        <w:t xml:space="preserve">ce besoin </w:t>
      </w:r>
      <w:proofErr w:type="gramStart"/>
      <w:r w:rsidR="007210E3">
        <w:t>de</w:t>
      </w:r>
      <w:proofErr w:type="gramEnd"/>
      <w:r w:rsidR="007210E3">
        <w:t xml:space="preserve"> reconnaissance. </w:t>
      </w:r>
      <w:r w:rsidR="002964BB">
        <w:t>D</w:t>
      </w:r>
      <w:r w:rsidR="005775D7">
        <w:t>’</w:t>
      </w:r>
      <w:r w:rsidR="002964BB">
        <w:t>autre part, c</w:t>
      </w:r>
      <w:r w:rsidR="00FB7EB5">
        <w:t>ette</w:t>
      </w:r>
      <w:r w:rsidR="00703D54">
        <w:t xml:space="preserve"> </w:t>
      </w:r>
      <w:r w:rsidR="00AB5E4B">
        <w:t>relation d</w:t>
      </w:r>
      <w:r w:rsidR="005775D7">
        <w:t>’</w:t>
      </w:r>
      <w:r w:rsidR="00AB5E4B">
        <w:t xml:space="preserve">engendrement entre </w:t>
      </w:r>
      <w:r w:rsidR="00703D54">
        <w:t>individu, reconnaissance</w:t>
      </w:r>
      <w:r w:rsidR="007210E3">
        <w:t>,</w:t>
      </w:r>
      <w:r w:rsidR="00703D54">
        <w:t xml:space="preserve"> et</w:t>
      </w:r>
      <w:r w:rsidR="00AB5E4B">
        <w:t xml:space="preserve"> </w:t>
      </w:r>
      <w:r w:rsidR="00703D54">
        <w:t>société n</w:t>
      </w:r>
      <w:r w:rsidR="005775D7">
        <w:t>’</w:t>
      </w:r>
      <w:r w:rsidR="00703D54">
        <w:t xml:space="preserve">est </w:t>
      </w:r>
      <w:r w:rsidR="00FB7EB5">
        <w:t>ni simple, ni automatique : a</w:t>
      </w:r>
      <w:r w:rsidR="00B50DE9">
        <w:t>fin que</w:t>
      </w:r>
      <w:r w:rsidR="0043293C">
        <w:t xml:space="preserve"> l</w:t>
      </w:r>
      <w:r w:rsidR="005775D7">
        <w:t>’</w:t>
      </w:r>
      <w:r w:rsidR="00EB4B7C">
        <w:t>inégalité naturelle</w:t>
      </w:r>
      <w:r w:rsidR="0043293C">
        <w:t xml:space="preserve"> entre les individus </w:t>
      </w:r>
      <w:r w:rsidR="00B50DE9">
        <w:t>s</w:t>
      </w:r>
      <w:r w:rsidR="005775D7">
        <w:t>’</w:t>
      </w:r>
      <w:r w:rsidR="00B50DE9">
        <w:t>efface</w:t>
      </w:r>
      <w:r w:rsidR="00FB7EB5">
        <w:t>,</w:t>
      </w:r>
      <w:r w:rsidR="00B50DE9">
        <w:t xml:space="preserve"> il faut que les conditions d</w:t>
      </w:r>
      <w:r w:rsidR="005775D7">
        <w:t>’</w:t>
      </w:r>
      <w:r w:rsidR="0043293C">
        <w:t xml:space="preserve">une </w:t>
      </w:r>
      <w:r w:rsidR="00EB4B7C">
        <w:t>r</w:t>
      </w:r>
      <w:r w:rsidR="00B50DE9">
        <w:t xml:space="preserve">econnaissance mutuelle soient </w:t>
      </w:r>
      <w:r w:rsidR="00FB7EB5">
        <w:t>réunies</w:t>
      </w:r>
      <w:r>
        <w:t>. Plus </w:t>
      </w:r>
      <w:r w:rsidR="009275F1">
        <w:t>précisément</w:t>
      </w:r>
      <w:r w:rsidR="00FB7EB5">
        <w:t>, e</w:t>
      </w:r>
      <w:r w:rsidR="00B50DE9" w:rsidRPr="00703D54">
        <w:t>n tant qu</w:t>
      </w:r>
      <w:r w:rsidR="005775D7">
        <w:t>’</w:t>
      </w:r>
      <w:r w:rsidR="00B50DE9" w:rsidRPr="00703D54">
        <w:t>expérience sociale et éthique, la reconnaissance suppose l</w:t>
      </w:r>
      <w:r w:rsidR="005775D7">
        <w:t>’</w:t>
      </w:r>
      <w:r w:rsidR="00B50DE9" w:rsidRPr="00703D54">
        <w:t>existence</w:t>
      </w:r>
      <w:r w:rsidR="00EB4B7C" w:rsidRPr="00703D54">
        <w:t xml:space="preserve"> des règles culture</w:t>
      </w:r>
      <w:r w:rsidR="00B50DE9" w:rsidRPr="00703D54">
        <w:t>lle</w:t>
      </w:r>
      <w:r w:rsidR="00EB4B7C" w:rsidRPr="00703D54">
        <w:t>s communes</w:t>
      </w:r>
      <w:r w:rsidR="009275F1">
        <w:t>, c</w:t>
      </w:r>
      <w:r w:rsidR="005775D7">
        <w:t>’</w:t>
      </w:r>
      <w:r w:rsidR="009275F1">
        <w:t>est-à-dire d</w:t>
      </w:r>
      <w:r w:rsidR="005775D7">
        <w:t>’</w:t>
      </w:r>
      <w:r w:rsidR="00B50DE9" w:rsidRPr="00703D54">
        <w:t>une « </w:t>
      </w:r>
      <w:proofErr w:type="spellStart"/>
      <w:r w:rsidR="00B50DE9" w:rsidRPr="00703D54">
        <w:t>éthicité</w:t>
      </w:r>
      <w:proofErr w:type="spellEnd"/>
      <w:r w:rsidR="00B50DE9" w:rsidRPr="00703D54">
        <w:t> »</w:t>
      </w:r>
      <w:r w:rsidR="00703D54" w:rsidRPr="00703D54">
        <w:t xml:space="preserve"> </w:t>
      </w:r>
      <w:r w:rsidR="00BA7D37" w:rsidRPr="00703D54">
        <w:t xml:space="preserve">partagée </w:t>
      </w:r>
      <w:r w:rsidR="00703D54" w:rsidRPr="00703D54">
        <w:t>(</w:t>
      </w:r>
      <w:proofErr w:type="spellStart"/>
      <w:r w:rsidR="00703D54" w:rsidRPr="00703D54">
        <w:rPr>
          <w:i/>
        </w:rPr>
        <w:t>Sittlichkeit</w:t>
      </w:r>
      <w:proofErr w:type="spellEnd"/>
      <w:r w:rsidR="00703D54" w:rsidRPr="00703D54">
        <w:t>)</w:t>
      </w:r>
      <w:r w:rsidR="000C33E9">
        <w:t xml:space="preserve"> à partir de laquelle pourront se développer droit et Etat</w:t>
      </w:r>
      <w:r w:rsidR="000C33E9">
        <w:rPr>
          <w:rStyle w:val="Appelnotedebasdep"/>
        </w:rPr>
        <w:footnoteReference w:id="2"/>
      </w:r>
      <w:r w:rsidR="00EB4B7C" w:rsidRPr="00703D54">
        <w:t>.</w:t>
      </w:r>
      <w:r w:rsidR="00EB4B7C">
        <w:t xml:space="preserve"> </w:t>
      </w:r>
      <w:r w:rsidR="002964BB">
        <w:t>La reconnaissance mutuelle n</w:t>
      </w:r>
      <w:r w:rsidR="005775D7">
        <w:t>’</w:t>
      </w:r>
      <w:r w:rsidR="00A31C28">
        <w:t xml:space="preserve">est donc pas seulement </w:t>
      </w:r>
      <w:r w:rsidR="002964BB" w:rsidRPr="00A3028C">
        <w:t>un moyen d</w:t>
      </w:r>
      <w:r w:rsidR="005775D7">
        <w:t>’</w:t>
      </w:r>
      <w:r w:rsidR="002964BB" w:rsidRPr="00A3028C">
        <w:t>existence de l</w:t>
      </w:r>
      <w:r w:rsidR="005775D7">
        <w:t>’</w:t>
      </w:r>
      <w:r w:rsidR="002964BB" w:rsidRPr="00A3028C">
        <w:t>indiv</w:t>
      </w:r>
      <w:r w:rsidR="002964BB">
        <w:t>idu dans son rapport aux autres</w:t>
      </w:r>
      <w:r w:rsidR="00A31C28">
        <w:t> ;</w:t>
      </w:r>
      <w:r w:rsidR="002964BB">
        <w:t xml:space="preserve"> elle est aussi un acte</w:t>
      </w:r>
      <w:r w:rsidR="002964BB" w:rsidRPr="00A3028C">
        <w:t xml:space="preserve"> de </w:t>
      </w:r>
      <w:r w:rsidR="009275F1">
        <w:t>constitution</w:t>
      </w:r>
      <w:r w:rsidR="002964BB" w:rsidRPr="00A3028C">
        <w:t xml:space="preserve"> </w:t>
      </w:r>
      <w:r>
        <w:t xml:space="preserve">ou de révélation </w:t>
      </w:r>
      <w:r w:rsidR="002964BB" w:rsidRPr="00A3028C">
        <w:t>de l</w:t>
      </w:r>
      <w:r w:rsidR="005775D7">
        <w:t>’</w:t>
      </w:r>
      <w:r w:rsidR="002964BB" w:rsidRPr="00A3028C">
        <w:t>espace social.</w:t>
      </w:r>
    </w:p>
    <w:p w14:paraId="555B8F00" w14:textId="0E52796B" w:rsidR="003961FD" w:rsidRDefault="003961FD" w:rsidP="003961FD">
      <w:r>
        <w:t xml:space="preserve">Un parallèle entre la notion philosophique et le concept juridique de reconnaissance mutuelle, aussi </w:t>
      </w:r>
      <w:r w:rsidR="00A3640D">
        <w:t>surprenant</w:t>
      </w:r>
      <w:r>
        <w:t xml:space="preserve"> qu</w:t>
      </w:r>
      <w:r w:rsidR="005775D7">
        <w:t>’</w:t>
      </w:r>
      <w:r>
        <w:t>il puisse paraître</w:t>
      </w:r>
      <w:r>
        <w:rPr>
          <w:rStyle w:val="Appelnotedebasdep"/>
        </w:rPr>
        <w:footnoteReference w:id="3"/>
      </w:r>
      <w:r>
        <w:t xml:space="preserve">, pourrait dès lors se </w:t>
      </w:r>
      <w:r w:rsidR="007210E3">
        <w:t xml:space="preserve">révéler utile. Cette </w:t>
      </w:r>
      <w:r w:rsidR="00A3640D">
        <w:t xml:space="preserve">approche permet </w:t>
      </w:r>
      <w:r w:rsidR="00A3640D">
        <w:lastRenderedPageBreak/>
        <w:t>en effet d’élucider l’existence d’un lien entre la</w:t>
      </w:r>
      <w:r w:rsidR="007210E3">
        <w:t xml:space="preserve"> pratique juridique et l</w:t>
      </w:r>
      <w:r w:rsidR="005775D7">
        <w:t>’</w:t>
      </w:r>
      <w:r w:rsidR="007210E3">
        <w:t>identité de l</w:t>
      </w:r>
      <w:r w:rsidR="005775D7">
        <w:t>’</w:t>
      </w:r>
      <w:r w:rsidR="007210E3">
        <w:t>espace dans lequel elle se développe. Transposée au cas du droit européen, cette hypothèse amène à mêler la question de la reconnaissance mutuelle avec celle de l</w:t>
      </w:r>
      <w:r w:rsidR="005775D7">
        <w:t>’</w:t>
      </w:r>
      <w:r w:rsidR="007210E3">
        <w:t>existence d</w:t>
      </w:r>
      <w:r w:rsidR="005775D7">
        <w:t>’</w:t>
      </w:r>
      <w:r w:rsidR="00624609">
        <w:t>une société européenne</w:t>
      </w:r>
      <w:r>
        <w:t xml:space="preserve"> </w:t>
      </w:r>
      <w:r w:rsidR="00624609">
        <w:t xml:space="preserve">investie par une </w:t>
      </w:r>
      <w:proofErr w:type="spellStart"/>
      <w:r w:rsidRPr="00BA7D37">
        <w:rPr>
          <w:i/>
        </w:rPr>
        <w:t>Sittlichkeit</w:t>
      </w:r>
      <w:proofErr w:type="spellEnd"/>
      <w:r>
        <w:t xml:space="preserve"> commune. </w:t>
      </w:r>
    </w:p>
    <w:p w14:paraId="2888457A" w14:textId="19AE8992" w:rsidR="009B77D6" w:rsidRDefault="00A3640D" w:rsidP="00EB4B7C">
      <w:r>
        <w:t>L’analyse de ce lien suppose cependant une clarification méthodologique</w:t>
      </w:r>
      <w:r w:rsidR="00703D54">
        <w:t>.</w:t>
      </w:r>
      <w:r>
        <w:t xml:space="preserve"> Faut-il voir dans la</w:t>
      </w:r>
      <w:r w:rsidR="00A8257F">
        <w:t xml:space="preserve"> proclamation de l</w:t>
      </w:r>
      <w:r w:rsidR="005775D7">
        <w:t>’</w:t>
      </w:r>
      <w:r w:rsidR="00A8257F">
        <w:t>existence</w:t>
      </w:r>
      <w:r w:rsidR="00216B39">
        <w:t xml:space="preserve"> </w:t>
      </w:r>
      <w:r w:rsidR="00A8257F">
        <w:t>d</w:t>
      </w:r>
      <w:r w:rsidR="005775D7">
        <w:t>’</w:t>
      </w:r>
      <w:r w:rsidR="00216B39">
        <w:t>un espace normatif</w:t>
      </w:r>
      <w:r w:rsidR="00A8257F">
        <w:t xml:space="preserve"> européen</w:t>
      </w:r>
      <w:r w:rsidR="00216B39">
        <w:t xml:space="preserve"> la preuve de </w:t>
      </w:r>
      <w:r w:rsidR="00FB7EB5">
        <w:t>l</w:t>
      </w:r>
      <w:r w:rsidR="005775D7">
        <w:t>’</w:t>
      </w:r>
      <w:r w:rsidR="00FB7EB5">
        <w:t>existence de</w:t>
      </w:r>
      <w:r w:rsidR="00216B39">
        <w:t xml:space="preserve"> cette </w:t>
      </w:r>
      <w:proofErr w:type="spellStart"/>
      <w:r w:rsidR="009B77D6">
        <w:t>éthicité</w:t>
      </w:r>
      <w:proofErr w:type="spellEnd"/>
      <w:r w:rsidR="009B77D6">
        <w:t xml:space="preserve"> partagée</w:t>
      </w:r>
      <w:r w:rsidR="00216B39">
        <w:t xml:space="preserve"> et</w:t>
      </w:r>
      <w:r w:rsidR="009B77D6">
        <w:t xml:space="preserve"> d</w:t>
      </w:r>
      <w:r w:rsidR="005775D7">
        <w:t>’</w:t>
      </w:r>
      <w:r w:rsidR="009B77D6">
        <w:t>une</w:t>
      </w:r>
      <w:r w:rsidR="00216B39">
        <w:t xml:space="preserve"> reconnaissance mutuelle</w:t>
      </w:r>
      <w:r w:rsidR="009B77D6">
        <w:t xml:space="preserve"> possible</w:t>
      </w:r>
      <w:r w:rsidR="00A8257F">
        <w:t xml:space="preserve"> au sein de cet espace </w:t>
      </w:r>
      <w:r w:rsidR="00CD38C4">
        <w:t>commun</w:t>
      </w:r>
      <w:r w:rsidR="00216B39">
        <w:t> ? Ou à l</w:t>
      </w:r>
      <w:r w:rsidR="005775D7">
        <w:t>’</w:t>
      </w:r>
      <w:r w:rsidR="00216B39">
        <w:t xml:space="preserve">inverse, la réalité de cet espace dépend-elle </w:t>
      </w:r>
      <w:r w:rsidR="003840DC">
        <w:t xml:space="preserve">de </w:t>
      </w:r>
      <w:r w:rsidR="00FB7EB5">
        <w:t>l</w:t>
      </w:r>
      <w:r w:rsidR="005775D7">
        <w:t>’</w:t>
      </w:r>
      <w:r w:rsidR="00FB7EB5">
        <w:t>observation</w:t>
      </w:r>
      <w:r w:rsidR="003840DC">
        <w:t xml:space="preserve"> de phénomènes de reconnaissance</w:t>
      </w:r>
      <w:r w:rsidR="009B77D6">
        <w:t>,</w:t>
      </w:r>
      <w:r w:rsidR="00FB7EB5">
        <w:t xml:space="preserve"> dont on pourra in</w:t>
      </w:r>
      <w:r w:rsidR="003840DC">
        <w:t>duire l</w:t>
      </w:r>
      <w:r w:rsidR="005775D7">
        <w:t>’</w:t>
      </w:r>
      <w:r w:rsidR="003840DC">
        <w:t>existence</w:t>
      </w:r>
      <w:r w:rsidR="009B77D6">
        <w:t xml:space="preserve"> ou non</w:t>
      </w:r>
      <w:r w:rsidR="003840DC">
        <w:t xml:space="preserve"> d</w:t>
      </w:r>
      <w:r w:rsidR="005775D7">
        <w:t>’</w:t>
      </w:r>
      <w:r w:rsidR="003840DC">
        <w:t>une société européenne</w:t>
      </w:r>
      <w:r w:rsidR="00FB7EB5">
        <w:t xml:space="preserve"> fondée sur des règles morales communes</w:t>
      </w:r>
      <w:r w:rsidR="003840DC">
        <w:t> ?</w:t>
      </w:r>
      <w:r w:rsidR="009B77D6">
        <w:t xml:space="preserve"> </w:t>
      </w:r>
    </w:p>
    <w:p w14:paraId="7E6A4F9F" w14:textId="52D3767C" w:rsidR="002E51CE" w:rsidRDefault="009B77D6" w:rsidP="00257DA2">
      <w:r>
        <w:t>La </w:t>
      </w:r>
      <w:r w:rsidR="003840DC">
        <w:t xml:space="preserve">définition de la reconnaissance mutuelle comme une </w:t>
      </w:r>
      <w:r w:rsidR="003840DC" w:rsidRPr="00997117">
        <w:rPr>
          <w:i/>
        </w:rPr>
        <w:t>praxis</w:t>
      </w:r>
      <w:r w:rsidR="00FB7EB5">
        <w:t>, ainsi que le prisme méthodologique positiviste de la science juridique</w:t>
      </w:r>
      <w:r w:rsidR="00997117">
        <w:t>,</w:t>
      </w:r>
      <w:r w:rsidR="00FB7EB5">
        <w:t xml:space="preserve"> paraissent</w:t>
      </w:r>
      <w:r w:rsidR="003840DC">
        <w:t xml:space="preserve"> militer en faveur de la seconde option. L</w:t>
      </w:r>
      <w:r w:rsidR="005775D7">
        <w:t>’</w:t>
      </w:r>
      <w:r w:rsidR="003840DC">
        <w:t>analyse de la reconnaissance mutuelle serait dans ce cas l</w:t>
      </w:r>
      <w:r w:rsidR="005775D7">
        <w:t>’</w:t>
      </w:r>
      <w:r w:rsidR="003840DC">
        <w:t>un des outils permettant d</w:t>
      </w:r>
      <w:r w:rsidR="005775D7">
        <w:t>’</w:t>
      </w:r>
      <w:r w:rsidR="003840DC">
        <w:t>évaluer la densité de la construction d</w:t>
      </w:r>
      <w:r w:rsidR="005775D7">
        <w:t>’</w:t>
      </w:r>
      <w:r>
        <w:t>un espace</w:t>
      </w:r>
      <w:r w:rsidR="003840DC">
        <w:t xml:space="preserve"> commun</w:t>
      </w:r>
      <w:r w:rsidR="00FB7EB5">
        <w:t xml:space="preserve"> entre les peuples européens</w:t>
      </w:r>
      <w:r w:rsidR="003840DC">
        <w:t>.</w:t>
      </w:r>
      <w:r w:rsidR="00A3028C">
        <w:t xml:space="preserve"> </w:t>
      </w:r>
      <w:r w:rsidR="00FB7EB5">
        <w:t>Les </w:t>
      </w:r>
      <w:r w:rsidR="00A3028C" w:rsidRPr="00A3028C">
        <w:t xml:space="preserve">limites de la </w:t>
      </w:r>
      <w:r w:rsidR="0012654F">
        <w:t>reconnaissance mutuelle</w:t>
      </w:r>
      <w:r w:rsidR="00A3028C" w:rsidRPr="00A3028C">
        <w:t xml:space="preserve"> </w:t>
      </w:r>
      <w:r w:rsidR="00A3028C">
        <w:t xml:space="preserve">seraient </w:t>
      </w:r>
      <w:r w:rsidR="0000630B">
        <w:t>alors</w:t>
      </w:r>
      <w:r w:rsidR="00A3028C" w:rsidRPr="00A3028C">
        <w:t xml:space="preserve"> la mesure de cet espace juridique que les traités appellent de leurs vœux. </w:t>
      </w:r>
      <w:r w:rsidR="00624609">
        <w:t>Pour évaluer la réalité de cette construction</w:t>
      </w:r>
      <w:r w:rsidR="00BC3E64">
        <w:t xml:space="preserve">, il </w:t>
      </w:r>
      <w:r w:rsidR="00A3028C">
        <w:t>convien</w:t>
      </w:r>
      <w:r w:rsidR="001571DD">
        <w:t>drai</w:t>
      </w:r>
      <w:r w:rsidR="00A3028C">
        <w:t>t</w:t>
      </w:r>
      <w:r w:rsidR="00BC3E64">
        <w:t xml:space="preserve"> </w:t>
      </w:r>
      <w:r w:rsidR="00A3028C">
        <w:t>ainsi de</w:t>
      </w:r>
      <w:r w:rsidR="00BC3E64">
        <w:t xml:space="preserve"> </w:t>
      </w:r>
      <w:r w:rsidR="001571DD">
        <w:t>se demander si</w:t>
      </w:r>
      <w:r w:rsidR="00EB4B7C">
        <w:t xml:space="preserve"> l</w:t>
      </w:r>
      <w:r w:rsidR="0012654F">
        <w:t>es juges, les </w:t>
      </w:r>
      <w:r w:rsidR="00B72A2C">
        <w:t>législateurs,</w:t>
      </w:r>
      <w:r w:rsidR="00BC3E64">
        <w:t xml:space="preserve"> </w:t>
      </w:r>
      <w:r w:rsidR="00EB4B7C">
        <w:t xml:space="preserve">les sujets de droit </w:t>
      </w:r>
      <w:r w:rsidR="00BC3E64">
        <w:t xml:space="preserve">des différents entités politiques </w:t>
      </w:r>
      <w:r w:rsidR="00EB4B7C">
        <w:t>se reconnaissent d</w:t>
      </w:r>
      <w:r w:rsidR="001571DD">
        <w:t>ans un rapport commun au monde.</w:t>
      </w:r>
      <w:r w:rsidR="00A3028C">
        <w:t xml:space="preserve"> </w:t>
      </w:r>
      <w:r w:rsidR="00624609">
        <w:t>Et c</w:t>
      </w:r>
      <w:r w:rsidR="005775D7">
        <w:t>’</w:t>
      </w:r>
      <w:r w:rsidR="00E65D46">
        <w:t xml:space="preserve">est à travers </w:t>
      </w:r>
      <w:r w:rsidR="002F22C9">
        <w:t>l</w:t>
      </w:r>
      <w:r w:rsidR="005775D7">
        <w:t>’</w:t>
      </w:r>
      <w:r w:rsidR="002F22C9">
        <w:t>analyse des</w:t>
      </w:r>
      <w:r w:rsidR="00E65D46">
        <w:t xml:space="preserve"> </w:t>
      </w:r>
      <w:r w:rsidR="002F22C9">
        <w:t>effets juridiques du principe de reconnaissance mutuelle,</w:t>
      </w:r>
      <w:r w:rsidR="00E65D46">
        <w:t xml:space="preserve"> que l</w:t>
      </w:r>
      <w:r w:rsidR="005775D7">
        <w:t>’</w:t>
      </w:r>
      <w:r w:rsidR="00E65D46">
        <w:t>on se propose d</w:t>
      </w:r>
      <w:r w:rsidR="005775D7">
        <w:t>’</w:t>
      </w:r>
      <w:r w:rsidR="00624609">
        <w:t>y procéder.</w:t>
      </w:r>
    </w:p>
    <w:p w14:paraId="2EDF54FE" w14:textId="0F4E4A1B" w:rsidR="00682A9D" w:rsidRDefault="0026715B" w:rsidP="00257DA2">
      <w:r>
        <w:t xml:space="preserve">Il faut </w:t>
      </w:r>
      <w:r w:rsidR="00FB3C4A">
        <w:t>à cet égard</w:t>
      </w:r>
      <w:r>
        <w:t xml:space="preserve"> se souvenir </w:t>
      </w:r>
      <w:r w:rsidR="00624609">
        <w:t xml:space="preserve">que la reconnaissance mutuelle est en droit européen </w:t>
      </w:r>
      <w:r w:rsidR="00A83742">
        <w:t>un</w:t>
      </w:r>
      <w:r w:rsidR="000E6927">
        <w:t xml:space="preserve"> </w:t>
      </w:r>
      <w:r w:rsidR="005A3170">
        <w:t>principe</w:t>
      </w:r>
      <w:r w:rsidR="002E51CE">
        <w:t xml:space="preserve"> </w:t>
      </w:r>
      <w:r>
        <w:t>ancien</w:t>
      </w:r>
      <w:r w:rsidR="007B230B">
        <w:rPr>
          <w:rStyle w:val="Appelnotedebasdep"/>
        </w:rPr>
        <w:footnoteReference w:id="4"/>
      </w:r>
      <w:r>
        <w:t xml:space="preserve">, qui tire </w:t>
      </w:r>
      <w:r w:rsidR="000E6927">
        <w:t xml:space="preserve">son essor </w:t>
      </w:r>
      <w:r w:rsidR="00A83742">
        <w:t>de</w:t>
      </w:r>
      <w:r w:rsidR="002E51CE">
        <w:t xml:space="preserve"> la célèbre jurisprudence </w:t>
      </w:r>
      <w:r w:rsidR="00A4714E">
        <w:t>« </w:t>
      </w:r>
      <w:r w:rsidR="002E51CE">
        <w:rPr>
          <w:i/>
        </w:rPr>
        <w:t>Cassis de Dijon</w:t>
      </w:r>
      <w:r w:rsidR="00A4714E">
        <w:t> »</w:t>
      </w:r>
      <w:r w:rsidR="002E51CE">
        <w:t xml:space="preserve"> </w:t>
      </w:r>
      <w:r w:rsidR="0098703D">
        <w:t>de</w:t>
      </w:r>
      <w:r w:rsidR="002F22C9">
        <w:t xml:space="preserve"> 1979</w:t>
      </w:r>
      <w:r w:rsidR="0098703D">
        <w:t xml:space="preserve"> par laquelle il devient un élément de définition </w:t>
      </w:r>
      <w:r w:rsidR="005A3170">
        <w:t xml:space="preserve">de la </w:t>
      </w:r>
      <w:r w:rsidR="00FC00E4">
        <w:t>libre circulation</w:t>
      </w:r>
      <w:r w:rsidR="001645A9">
        <w:rPr>
          <w:rStyle w:val="Appelnotedebasdep"/>
        </w:rPr>
        <w:footnoteReference w:id="5"/>
      </w:r>
      <w:r w:rsidR="00FC00E4">
        <w:t xml:space="preserve">. </w:t>
      </w:r>
      <w:r>
        <w:t>L</w:t>
      </w:r>
      <w:r w:rsidR="005775D7">
        <w:t>’</w:t>
      </w:r>
      <w:r>
        <w:t xml:space="preserve">année </w:t>
      </w:r>
      <w:r w:rsidR="000E6927">
        <w:t xml:space="preserve">1999 </w:t>
      </w:r>
      <w:r w:rsidR="005A3170">
        <w:t>constitu</w:t>
      </w:r>
      <w:r w:rsidR="008B5C63">
        <w:t>er</w:t>
      </w:r>
      <w:r w:rsidR="005A3170">
        <w:t>a ensuite</w:t>
      </w:r>
      <w:r w:rsidR="00FC00E4">
        <w:t xml:space="preserve"> </w:t>
      </w:r>
      <w:r>
        <w:t xml:space="preserve">un nouveau </w:t>
      </w:r>
      <w:r w:rsidR="00FC00E4">
        <w:t>point d</w:t>
      </w:r>
      <w:r w:rsidR="005775D7">
        <w:t>’</w:t>
      </w:r>
      <w:r w:rsidR="00FC00E4">
        <w:t>orgue</w:t>
      </w:r>
      <w:r w:rsidR="00454D63">
        <w:t xml:space="preserve"> dans son développement</w:t>
      </w:r>
      <w:r w:rsidR="00FC00E4">
        <w:t>, puisqu</w:t>
      </w:r>
      <w:r w:rsidR="005775D7">
        <w:t>’</w:t>
      </w:r>
      <w:r w:rsidR="00FC00E4">
        <w:t xml:space="preserve">il fera </w:t>
      </w:r>
      <w:r w:rsidR="00A83742">
        <w:t>l</w:t>
      </w:r>
      <w:r w:rsidR="005775D7">
        <w:t>’</w:t>
      </w:r>
      <w:r w:rsidR="00A83742">
        <w:t xml:space="preserve">objet, </w:t>
      </w:r>
      <w:r w:rsidR="00A83742">
        <w:lastRenderedPageBreak/>
        <w:t>d</w:t>
      </w:r>
      <w:r w:rsidR="005775D7">
        <w:t>’</w:t>
      </w:r>
      <w:r w:rsidR="000E6927">
        <w:t>une part</w:t>
      </w:r>
      <w:r w:rsidR="00A83742">
        <w:t>, d</w:t>
      </w:r>
      <w:r w:rsidR="005775D7">
        <w:t>’</w:t>
      </w:r>
      <w:r w:rsidR="00A83742">
        <w:t>une</w:t>
      </w:r>
      <w:r w:rsidR="000E6927">
        <w:t xml:space="preserve"> communication de la Commission</w:t>
      </w:r>
      <w:r w:rsidR="00A83742">
        <w:t xml:space="preserve"> </w:t>
      </w:r>
      <w:r w:rsidR="00736844">
        <w:t>rappelant son rôle dans le cadre du m</w:t>
      </w:r>
      <w:r w:rsidR="00A83742" w:rsidRPr="00A83742">
        <w:t>arché intérieur</w:t>
      </w:r>
      <w:r w:rsidR="00A83742">
        <w:rPr>
          <w:rStyle w:val="Appelnotedebasdep"/>
        </w:rPr>
        <w:footnoteReference w:id="6"/>
      </w:r>
      <w:r w:rsidR="00A83742">
        <w:t xml:space="preserve">, et, </w:t>
      </w:r>
      <w:r w:rsidR="000E6927">
        <w:t>d</w:t>
      </w:r>
      <w:r w:rsidR="005775D7">
        <w:t>’</w:t>
      </w:r>
      <w:r w:rsidR="000E6927">
        <w:t>autre part</w:t>
      </w:r>
      <w:r w:rsidR="00A83742">
        <w:t>,</w:t>
      </w:r>
      <w:r w:rsidR="000E6927">
        <w:t xml:space="preserve"> </w:t>
      </w:r>
      <w:r w:rsidR="00736844">
        <w:t xml:space="preserve">des </w:t>
      </w:r>
      <w:r w:rsidR="003D0117">
        <w:t>conclusions</w:t>
      </w:r>
      <w:r w:rsidR="00A83742">
        <w:t xml:space="preserve"> du</w:t>
      </w:r>
      <w:r w:rsidR="000E6927">
        <w:t xml:space="preserve"> Conseil européen de Tampere qui </w:t>
      </w:r>
      <w:r w:rsidR="00BC14BA">
        <w:t>vont</w:t>
      </w:r>
      <w:r w:rsidR="00A83742">
        <w:t xml:space="preserve"> étendre </w:t>
      </w:r>
      <w:r w:rsidR="00BC14BA">
        <w:t>son</w:t>
      </w:r>
      <w:r w:rsidR="00A83742">
        <w:t xml:space="preserve"> champ d</w:t>
      </w:r>
      <w:r w:rsidR="005775D7">
        <w:t>’</w:t>
      </w:r>
      <w:r w:rsidR="00A83742">
        <w:t>application</w:t>
      </w:r>
      <w:r w:rsidR="00BC14BA">
        <w:t xml:space="preserve"> à </w:t>
      </w:r>
      <w:r w:rsidR="00A83742">
        <w:t>l</w:t>
      </w:r>
      <w:r w:rsidR="005775D7">
        <w:t>’</w:t>
      </w:r>
      <w:r w:rsidR="00A83742">
        <w:t>ELSJ</w:t>
      </w:r>
      <w:r w:rsidR="003D0117">
        <w:rPr>
          <w:rStyle w:val="Appelnotedebasdep"/>
        </w:rPr>
        <w:footnoteReference w:id="7"/>
      </w:r>
      <w:r w:rsidR="00A83742">
        <w:t>. </w:t>
      </w:r>
      <w:r w:rsidR="00454D63" w:rsidRPr="008B5C63">
        <w:t xml:space="preserve">Depuis lors, le </w:t>
      </w:r>
      <w:r w:rsidR="0009745C">
        <w:t>principe de reconnaissance mutuelle</w:t>
      </w:r>
      <w:r w:rsidR="00454D63" w:rsidRPr="008B5C63">
        <w:t xml:space="preserve"> est </w:t>
      </w:r>
      <w:r w:rsidR="00624609">
        <w:t>effectivement présenté comme étant au cœur</w:t>
      </w:r>
      <w:r w:rsidR="00A83742" w:rsidRPr="008B5C63">
        <w:t xml:space="preserve"> </w:t>
      </w:r>
      <w:r w:rsidR="00454D63" w:rsidRPr="008B5C63">
        <w:t>de la</w:t>
      </w:r>
      <w:r w:rsidR="00A83742" w:rsidRPr="008B5C63">
        <w:t xml:space="preserve"> </w:t>
      </w:r>
      <w:r w:rsidR="00454D63" w:rsidRPr="008B5C63">
        <w:t xml:space="preserve">réalisation des deux </w:t>
      </w:r>
      <w:r w:rsidR="00A83742" w:rsidRPr="008B5C63">
        <w:t>espace</w:t>
      </w:r>
      <w:r w:rsidR="00454D63" w:rsidRPr="008B5C63">
        <w:t>s</w:t>
      </w:r>
      <w:r w:rsidR="00A83742" w:rsidRPr="008B5C63">
        <w:t xml:space="preserve"> normatif</w:t>
      </w:r>
      <w:r w:rsidR="00454D63" w:rsidRPr="008B5C63">
        <w:t xml:space="preserve">s ouverts </w:t>
      </w:r>
      <w:r w:rsidR="00A83742" w:rsidRPr="008B5C63">
        <w:t xml:space="preserve">que sont le </w:t>
      </w:r>
      <w:r w:rsidR="0012654F" w:rsidRPr="008B5C63">
        <w:t>marché</w:t>
      </w:r>
      <w:r w:rsidR="00A83742" w:rsidRPr="008B5C63">
        <w:t xml:space="preserve"> </w:t>
      </w:r>
      <w:r w:rsidR="008B5C63" w:rsidRPr="008B5C63">
        <w:t xml:space="preserve">intérieur </w:t>
      </w:r>
      <w:r w:rsidR="00A83742" w:rsidRPr="008B5C63">
        <w:t>et l</w:t>
      </w:r>
      <w:r w:rsidR="005775D7">
        <w:t>’</w:t>
      </w:r>
      <w:r w:rsidR="00A83742" w:rsidRPr="008B5C63">
        <w:t>ELSJ</w:t>
      </w:r>
      <w:r w:rsidR="000C5715">
        <w:rPr>
          <w:rStyle w:val="Appelnotedebasdep"/>
        </w:rPr>
        <w:footnoteReference w:id="8"/>
      </w:r>
      <w:r w:rsidR="000501C0">
        <w:t>.</w:t>
      </w:r>
    </w:p>
    <w:p w14:paraId="1C3CB43D" w14:textId="3C27AFCC" w:rsidR="00537F8F" w:rsidRDefault="008B5C63" w:rsidP="00257DA2">
      <w:r w:rsidRPr="008B5C63">
        <w:t xml:space="preserve">Malgré son ancienneté et son caractère </w:t>
      </w:r>
      <w:r w:rsidR="000C5715">
        <w:t>central</w:t>
      </w:r>
      <w:r w:rsidR="00454D63" w:rsidRPr="008B5C63">
        <w:t xml:space="preserve">, </w:t>
      </w:r>
      <w:r>
        <w:t>ce </w:t>
      </w:r>
      <w:r w:rsidRPr="008B5C63">
        <w:t>principe</w:t>
      </w:r>
      <w:r w:rsidR="000C5715">
        <w:t xml:space="preserve"> </w:t>
      </w:r>
      <w:r w:rsidR="00FC00E4" w:rsidRPr="008B5C63">
        <w:t>ne cesse</w:t>
      </w:r>
      <w:r w:rsidR="00624609">
        <w:t xml:space="preserve"> pourtant</w:t>
      </w:r>
      <w:r w:rsidR="00FC00E4" w:rsidRPr="008B5C63">
        <w:t xml:space="preserve"> pas d</w:t>
      </w:r>
      <w:r w:rsidR="005775D7">
        <w:t>’</w:t>
      </w:r>
      <w:r w:rsidR="00FC00E4" w:rsidRPr="008B5C63">
        <w:t>interpeler</w:t>
      </w:r>
      <w:r w:rsidR="0000630B">
        <w:t>. S</w:t>
      </w:r>
      <w:r>
        <w:t xml:space="preserve">imple dans son énonciation, </w:t>
      </w:r>
      <w:r w:rsidR="001571DD">
        <w:t>il</w:t>
      </w:r>
      <w:r>
        <w:t xml:space="preserve"> s</w:t>
      </w:r>
      <w:r w:rsidR="005775D7">
        <w:t>’</w:t>
      </w:r>
      <w:r>
        <w:t>avère</w:t>
      </w:r>
      <w:r w:rsidR="003B09A3">
        <w:t xml:space="preserve"> complexe et</w:t>
      </w:r>
      <w:r>
        <w:t xml:space="preserve"> relatif dans son application</w:t>
      </w:r>
      <w:r w:rsidR="00624609">
        <w:t xml:space="preserve"> – les </w:t>
      </w:r>
      <w:r w:rsidR="003B09A3">
        <w:t xml:space="preserve">deux </w:t>
      </w:r>
      <w:r w:rsidR="00624609">
        <w:t>caractères étant liés</w:t>
      </w:r>
      <w:r w:rsidR="003B09A3">
        <w:t> : c</w:t>
      </w:r>
      <w:r w:rsidR="005775D7">
        <w:t>’</w:t>
      </w:r>
      <w:r w:rsidR="003B09A3">
        <w:t>est e</w:t>
      </w:r>
      <w:r>
        <w:t>n raison de s</w:t>
      </w:r>
      <w:r w:rsidR="00FC00E4" w:rsidRPr="008B5C63">
        <w:t xml:space="preserve">a </w:t>
      </w:r>
      <w:r w:rsidR="003B09A3">
        <w:t>nature</w:t>
      </w:r>
      <w:r w:rsidR="00FC00E4" w:rsidRPr="008B5C63">
        <w:t xml:space="preserve"> dérogatoire</w:t>
      </w:r>
      <w:r w:rsidR="00084DA9" w:rsidRPr="008B5C63">
        <w:t xml:space="preserve"> </w:t>
      </w:r>
      <w:r w:rsidRPr="008B5C63">
        <w:t>am</w:t>
      </w:r>
      <w:r w:rsidR="00084DA9" w:rsidRPr="008B5C63">
        <w:t>bivalente</w:t>
      </w:r>
      <w:r w:rsidR="003B09A3">
        <w:t xml:space="preserve"> qu</w:t>
      </w:r>
      <w:r w:rsidR="005775D7">
        <w:t>’</w:t>
      </w:r>
      <w:r w:rsidR="003B09A3">
        <w:t>il constitue</w:t>
      </w:r>
      <w:r w:rsidR="00FC00E4" w:rsidRPr="008B5C63">
        <w:t xml:space="preserve"> un facteur de complexité dans l</w:t>
      </w:r>
      <w:r w:rsidR="005775D7">
        <w:t>’</w:t>
      </w:r>
      <w:r w:rsidR="00FC00E4" w:rsidRPr="008B5C63">
        <w:t>application</w:t>
      </w:r>
      <w:r w:rsidR="00FB1147" w:rsidRPr="008B5C63">
        <w:t xml:space="preserve"> et la marche</w:t>
      </w:r>
      <w:r>
        <w:t xml:space="preserve"> du droit</w:t>
      </w:r>
      <w:r w:rsidR="00953261">
        <w:rPr>
          <w:rStyle w:val="Appelnotedebasdep"/>
        </w:rPr>
        <w:footnoteReference w:id="9"/>
      </w:r>
      <w:r>
        <w:t xml:space="preserve">. </w:t>
      </w:r>
    </w:p>
    <w:p w14:paraId="7A6EBEAF" w14:textId="4BD43D37" w:rsidR="00A01FB0" w:rsidRDefault="0000630B" w:rsidP="00A01FB0">
      <w:r>
        <w:t>La</w:t>
      </w:r>
      <w:r w:rsidR="008B5C63">
        <w:t xml:space="preserve"> reconnaissance mutuelle doit </w:t>
      </w:r>
      <w:r w:rsidR="002A652D">
        <w:t xml:space="preserve">donc </w:t>
      </w:r>
      <w:r w:rsidR="008B5C63">
        <w:t xml:space="preserve">être </w:t>
      </w:r>
      <w:r w:rsidR="00FB3C4A">
        <w:t xml:space="preserve">mise en relation avec </w:t>
      </w:r>
      <w:r w:rsidR="008B5C63">
        <w:t>la notion d</w:t>
      </w:r>
      <w:r w:rsidR="005775D7">
        <w:t>’</w:t>
      </w:r>
      <w:r w:rsidR="008B5C63">
        <w:t>exception.</w:t>
      </w:r>
      <w:r>
        <w:t xml:space="preserve"> Celle</w:t>
      </w:r>
      <w:r>
        <w:noBreakHyphen/>
      </w:r>
      <w:r w:rsidR="007D41CB">
        <w:t>ci est</w:t>
      </w:r>
      <w:r>
        <w:t>,</w:t>
      </w:r>
      <w:r w:rsidR="007D41CB">
        <w:t xml:space="preserve"> </w:t>
      </w:r>
      <w:r w:rsidR="00953261">
        <w:t>en droit</w:t>
      </w:r>
      <w:r>
        <w:t>,</w:t>
      </w:r>
      <w:r w:rsidR="00953261">
        <w:t xml:space="preserve"> </w:t>
      </w:r>
      <w:r w:rsidR="00266FF1">
        <w:t>particulièrement riche de sens</w:t>
      </w:r>
      <w:r w:rsidR="007D41CB">
        <w:t>. Tout d</w:t>
      </w:r>
      <w:r w:rsidR="005775D7">
        <w:t>’</w:t>
      </w:r>
      <w:r w:rsidR="007D41CB">
        <w:t xml:space="preserve">abord, elle peut être </w:t>
      </w:r>
      <w:r w:rsidR="00AA1DAA">
        <w:t xml:space="preserve">entendue par opposition à la règle </w:t>
      </w:r>
      <w:r w:rsidR="00266FF1">
        <w:t>juridique</w:t>
      </w:r>
      <w:r w:rsidR="00AA1DAA">
        <w:t xml:space="preserve"> à laque</w:t>
      </w:r>
      <w:r w:rsidR="007D41CB">
        <w:t>lle est attaché l</w:t>
      </w:r>
      <w:r w:rsidR="005775D7">
        <w:t>’</w:t>
      </w:r>
      <w:r w:rsidR="007D41CB">
        <w:t>universalisme</w:t>
      </w:r>
      <w:r w:rsidR="00A92A1A">
        <w:rPr>
          <w:rStyle w:val="Appelnotedebasdep"/>
        </w:rPr>
        <w:footnoteReference w:id="10"/>
      </w:r>
      <w:r w:rsidR="007D41CB">
        <w:t>. L</w:t>
      </w:r>
      <w:r w:rsidR="005775D7">
        <w:t>’</w:t>
      </w:r>
      <w:r w:rsidR="007D41CB">
        <w:t xml:space="preserve">exception est en ce sens la </w:t>
      </w:r>
      <w:proofErr w:type="spellStart"/>
      <w:r w:rsidR="00AA1DAA" w:rsidRPr="00AA1DAA">
        <w:rPr>
          <w:i/>
        </w:rPr>
        <w:t>lex</w:t>
      </w:r>
      <w:proofErr w:type="spellEnd"/>
      <w:r w:rsidR="00AA1DAA" w:rsidRPr="00AA1DAA">
        <w:rPr>
          <w:i/>
        </w:rPr>
        <w:t xml:space="preserve"> </w:t>
      </w:r>
      <w:proofErr w:type="spellStart"/>
      <w:r w:rsidR="00AA1DAA" w:rsidRPr="00AA1DAA">
        <w:rPr>
          <w:i/>
        </w:rPr>
        <w:t>specialis</w:t>
      </w:r>
      <w:proofErr w:type="spellEnd"/>
      <w:r w:rsidR="00AA1DAA">
        <w:t xml:space="preserve"> dotée d</w:t>
      </w:r>
      <w:r w:rsidR="005775D7">
        <w:t>’</w:t>
      </w:r>
      <w:r w:rsidR="00AA1DAA">
        <w:t xml:space="preserve">un </w:t>
      </w:r>
      <w:r w:rsidR="00266FF1">
        <w:t>périmètre</w:t>
      </w:r>
      <w:r w:rsidR="00AA1DAA">
        <w:t xml:space="preserve"> d</w:t>
      </w:r>
      <w:r w:rsidR="005775D7">
        <w:t>’</w:t>
      </w:r>
      <w:r w:rsidR="00AA1DAA">
        <w:t>application plus réduit</w:t>
      </w:r>
      <w:r w:rsidR="006A4FC0">
        <w:t xml:space="preserve"> que la </w:t>
      </w:r>
      <w:r w:rsidR="00266FF1">
        <w:t>loi</w:t>
      </w:r>
      <w:r w:rsidR="006A4FC0">
        <w:t xml:space="preserve"> générale. E</w:t>
      </w:r>
      <w:r w:rsidR="007D41CB">
        <w:t>l</w:t>
      </w:r>
      <w:r w:rsidR="006A4FC0">
        <w:t>l</w:t>
      </w:r>
      <w:r w:rsidR="00953261">
        <w:t>e </w:t>
      </w:r>
      <w:r w:rsidR="006A4FC0">
        <w:t>se justifie alors</w:t>
      </w:r>
      <w:r w:rsidR="007D41CB">
        <w:t xml:space="preserve"> par l</w:t>
      </w:r>
      <w:r w:rsidR="005775D7">
        <w:t>’</w:t>
      </w:r>
      <w:r w:rsidR="00AA1DAA">
        <w:t>idée d</w:t>
      </w:r>
      <w:r w:rsidR="005775D7">
        <w:t>’</w:t>
      </w:r>
      <w:r w:rsidR="00AA1DAA">
        <w:t>anormalité</w:t>
      </w:r>
      <w:r w:rsidR="00835FB2">
        <w:t xml:space="preserve"> ou du moins de particularité</w:t>
      </w:r>
      <w:r w:rsidR="007D41CB">
        <w:t xml:space="preserve"> de la situation factuelle et par la nécessité d</w:t>
      </w:r>
      <w:r w:rsidR="005775D7">
        <w:t>’</w:t>
      </w:r>
      <w:r w:rsidR="007D41CB">
        <w:t>introduire une</w:t>
      </w:r>
      <w:r w:rsidR="00AA1DAA">
        <w:t xml:space="preserve"> dérogation au droit commun</w:t>
      </w:r>
      <w:r w:rsidR="006A4FC0">
        <w:rPr>
          <w:rStyle w:val="Appelnotedebasdep"/>
        </w:rPr>
        <w:footnoteReference w:id="11"/>
      </w:r>
      <w:r w:rsidR="006A4FC0">
        <w:t>. L</w:t>
      </w:r>
      <w:r w:rsidR="005775D7">
        <w:t>’</w:t>
      </w:r>
      <w:r w:rsidR="006A4FC0">
        <w:t xml:space="preserve">exception peut </w:t>
      </w:r>
      <w:r w:rsidR="00953261">
        <w:t>encore</w:t>
      </w:r>
      <w:r w:rsidR="006A4FC0">
        <w:t xml:space="preserve"> prendre une connotation différente lorsqu</w:t>
      </w:r>
      <w:r w:rsidR="005775D7">
        <w:t>’</w:t>
      </w:r>
      <w:r w:rsidR="006A4FC0">
        <w:t>elle désigne un droit exorbitant</w:t>
      </w:r>
      <w:r w:rsidR="00835FB2">
        <w:t xml:space="preserve"> entendu comme</w:t>
      </w:r>
      <w:r w:rsidR="006A4FC0">
        <w:t xml:space="preserve"> un régime juridique </w:t>
      </w:r>
      <w:r w:rsidR="00A01FB0">
        <w:t>privilégié. Elle entre ici en</w:t>
      </w:r>
      <w:r w:rsidR="006A4FC0">
        <w:t xml:space="preserve"> rupture avec l</w:t>
      </w:r>
      <w:r w:rsidR="005775D7">
        <w:t>’</w:t>
      </w:r>
      <w:r w:rsidR="006A4FC0">
        <w:t>idéal d</w:t>
      </w:r>
      <w:r w:rsidR="005775D7">
        <w:t>’</w:t>
      </w:r>
      <w:r w:rsidR="006A4FC0">
        <w:t>uniformité ou d</w:t>
      </w:r>
      <w:r w:rsidR="005775D7">
        <w:t>’</w:t>
      </w:r>
      <w:r w:rsidR="006A4FC0">
        <w:t xml:space="preserve">égalité, </w:t>
      </w:r>
      <w:r w:rsidR="00835FB2">
        <w:t xml:space="preserve">au nom </w:t>
      </w:r>
      <w:r w:rsidR="006A4FC0">
        <w:t>de la spécificité d</w:t>
      </w:r>
      <w:r w:rsidR="005775D7">
        <w:t>’</w:t>
      </w:r>
      <w:r w:rsidR="006A4FC0">
        <w:t>une situation</w:t>
      </w:r>
      <w:r w:rsidR="00A01FB0">
        <w:rPr>
          <w:rStyle w:val="Appelnotedebasdep"/>
        </w:rPr>
        <w:footnoteReference w:id="12"/>
      </w:r>
      <w:r w:rsidR="006A4FC0">
        <w:t>.</w:t>
      </w:r>
      <w:r w:rsidR="006E3442">
        <w:t xml:space="preserve"> </w:t>
      </w:r>
      <w:r w:rsidR="00835FB2" w:rsidRPr="002A652D">
        <w:t>Il </w:t>
      </w:r>
      <w:r w:rsidR="00A01FB0" w:rsidRPr="002A652D">
        <w:t>ressort de ces rapides remarques que l</w:t>
      </w:r>
      <w:r w:rsidR="005775D7">
        <w:t>’</w:t>
      </w:r>
      <w:r w:rsidR="00A01FB0" w:rsidRPr="002A652D">
        <w:t>exception</w:t>
      </w:r>
      <w:r w:rsidR="002A652D" w:rsidRPr="002A652D">
        <w:t xml:space="preserve"> </w:t>
      </w:r>
      <w:r w:rsidR="00A01FB0" w:rsidRPr="002A652D">
        <w:t>met généralement en rapport l</w:t>
      </w:r>
      <w:r w:rsidR="005775D7">
        <w:t>’</w:t>
      </w:r>
      <w:r w:rsidR="00A01FB0" w:rsidRPr="002A652D">
        <w:t>égalité et l</w:t>
      </w:r>
      <w:r w:rsidR="005775D7">
        <w:t>’</w:t>
      </w:r>
      <w:r w:rsidR="000B669B" w:rsidRPr="002A652D">
        <w:t>individualité. Elle rejoint ainsi la reconnaissance</w:t>
      </w:r>
      <w:r w:rsidR="00835FB2" w:rsidRPr="002A652D">
        <w:t xml:space="preserve"> mutuelle</w:t>
      </w:r>
      <w:r w:rsidR="000B669B" w:rsidRPr="002A652D">
        <w:t xml:space="preserve"> : </w:t>
      </w:r>
      <w:r w:rsidR="00835FB2" w:rsidRPr="002A652D">
        <w:t xml:space="preserve">se </w:t>
      </w:r>
      <w:r w:rsidR="00A01FB0" w:rsidRPr="002A652D">
        <w:t xml:space="preserve">reconnaitre ou ne pas </w:t>
      </w:r>
      <w:r w:rsidR="00835FB2" w:rsidRPr="002A652D">
        <w:t xml:space="preserve">se </w:t>
      </w:r>
      <w:r w:rsidR="00A01FB0" w:rsidRPr="002A652D">
        <w:t>reconnaître</w:t>
      </w:r>
      <w:r w:rsidR="00835FB2" w:rsidRPr="002A652D">
        <w:t xml:space="preserve"> dans un même rapport au monde</w:t>
      </w:r>
      <w:r w:rsidR="00A01FB0" w:rsidRPr="002A652D">
        <w:t xml:space="preserve"> sont</w:t>
      </w:r>
      <w:r w:rsidR="000B669B" w:rsidRPr="002A652D">
        <w:t xml:space="preserve"> en </w:t>
      </w:r>
      <w:r w:rsidR="000B669B" w:rsidRPr="002A652D">
        <w:lastRenderedPageBreak/>
        <w:t>effet</w:t>
      </w:r>
      <w:r w:rsidR="00A01FB0" w:rsidRPr="002A652D">
        <w:t xml:space="preserve"> deux </w:t>
      </w:r>
      <w:r w:rsidR="00835FB2" w:rsidRPr="002A652D">
        <w:t>décisions opposées,</w:t>
      </w:r>
      <w:r w:rsidR="000B669B" w:rsidRPr="002A652D">
        <w:t xml:space="preserve"> </w:t>
      </w:r>
      <w:r w:rsidR="00835FB2" w:rsidRPr="002A652D">
        <w:t xml:space="preserve">qui concluent cependant une même opération mêlant </w:t>
      </w:r>
      <w:r w:rsidR="000B669B" w:rsidRPr="002A652D">
        <w:t>l</w:t>
      </w:r>
      <w:r w:rsidR="005775D7">
        <w:t>’</w:t>
      </w:r>
      <w:r w:rsidR="000B669B" w:rsidRPr="002A652D">
        <w:t>identité et l</w:t>
      </w:r>
      <w:r w:rsidR="005775D7">
        <w:t>’</w:t>
      </w:r>
      <w:r w:rsidR="000B669B" w:rsidRPr="002A652D">
        <w:t>altérité</w:t>
      </w:r>
      <w:r w:rsidR="00363D19" w:rsidRPr="002A652D">
        <w:t xml:space="preserve"> dans un processus d</w:t>
      </w:r>
      <w:r w:rsidR="005775D7">
        <w:t>’</w:t>
      </w:r>
      <w:r w:rsidR="00363D19" w:rsidRPr="002A652D">
        <w:t>évaluatio</w:t>
      </w:r>
      <w:r w:rsidR="00363D19" w:rsidRPr="00C4088A">
        <w:t>n</w:t>
      </w:r>
      <w:r w:rsidR="00C4088A" w:rsidRPr="00C4088A">
        <w:rPr>
          <w:rStyle w:val="Appelnotedebasdep"/>
        </w:rPr>
        <w:footnoteReference w:id="13"/>
      </w:r>
      <w:r w:rsidR="00C4088A" w:rsidRPr="00C4088A">
        <w:t>.</w:t>
      </w:r>
      <w:r w:rsidR="000B669B" w:rsidRPr="002A652D">
        <w:t xml:space="preserve"> </w:t>
      </w:r>
    </w:p>
    <w:p w14:paraId="3D88CADC" w14:textId="6B3035FB" w:rsidR="001B650E" w:rsidRPr="00F022D4" w:rsidRDefault="006E3442" w:rsidP="00257DA2">
      <w:r>
        <w:rPr>
          <w:rFonts w:eastAsia="Times New Roman" w:cs="Times New Roman"/>
          <w:szCs w:val="24"/>
          <w:lang w:eastAsia="fr-FR"/>
        </w:rPr>
        <w:t>Mais</w:t>
      </w:r>
      <w:r w:rsidR="00835FB2" w:rsidRPr="00F022D4">
        <w:rPr>
          <w:rFonts w:eastAsia="Times New Roman" w:cs="Times New Roman"/>
          <w:szCs w:val="24"/>
          <w:lang w:eastAsia="fr-FR"/>
        </w:rPr>
        <w:t xml:space="preserve"> l</w:t>
      </w:r>
      <w:r w:rsidR="005775D7">
        <w:rPr>
          <w:rFonts w:eastAsia="Times New Roman" w:cs="Times New Roman"/>
          <w:szCs w:val="24"/>
          <w:lang w:eastAsia="fr-FR"/>
        </w:rPr>
        <w:t>’</w:t>
      </w:r>
      <w:r w:rsidR="00835FB2" w:rsidRPr="00F022D4">
        <w:rPr>
          <w:rFonts w:eastAsia="Times New Roman" w:cs="Times New Roman"/>
          <w:szCs w:val="24"/>
          <w:lang w:eastAsia="fr-FR"/>
        </w:rPr>
        <w:t xml:space="preserve">exception et </w:t>
      </w:r>
      <w:r>
        <w:rPr>
          <w:rFonts w:eastAsia="Times New Roman" w:cs="Times New Roman"/>
          <w:szCs w:val="24"/>
          <w:lang w:eastAsia="fr-FR"/>
        </w:rPr>
        <w:t xml:space="preserve">la reconnaissance </w:t>
      </w:r>
      <w:r w:rsidR="00835FB2" w:rsidRPr="00F022D4">
        <w:rPr>
          <w:rFonts w:eastAsia="Times New Roman" w:cs="Times New Roman"/>
          <w:szCs w:val="24"/>
          <w:lang w:eastAsia="fr-FR"/>
        </w:rPr>
        <w:t>semble</w:t>
      </w:r>
      <w:r>
        <w:rPr>
          <w:rFonts w:eastAsia="Times New Roman" w:cs="Times New Roman"/>
          <w:szCs w:val="24"/>
          <w:lang w:eastAsia="fr-FR"/>
        </w:rPr>
        <w:t xml:space="preserve">nt avoir, dans le champ du droit de l’Union européenne, davantage que des ressorts communs. En effet, </w:t>
      </w:r>
      <w:r w:rsidR="004D6037" w:rsidRPr="00F022D4">
        <w:t xml:space="preserve">si le </w:t>
      </w:r>
      <w:r w:rsidR="0009745C" w:rsidRPr="00F022D4">
        <w:t>principe de reconnaissance mutuelle</w:t>
      </w:r>
      <w:r w:rsidR="004D6037" w:rsidRPr="00F022D4">
        <w:t xml:space="preserve"> est un outil essentiel de l</w:t>
      </w:r>
      <w:r w:rsidR="005775D7">
        <w:t>’</w:t>
      </w:r>
      <w:r w:rsidR="004D6037" w:rsidRPr="00F022D4">
        <w:t xml:space="preserve">intégration, </w:t>
      </w:r>
      <w:r w:rsidR="00537F8F" w:rsidRPr="00F022D4">
        <w:t>c</w:t>
      </w:r>
      <w:r w:rsidR="005775D7">
        <w:t>’</w:t>
      </w:r>
      <w:r w:rsidR="00537F8F" w:rsidRPr="00F022D4">
        <w:t xml:space="preserve">est </w:t>
      </w:r>
      <w:r w:rsidR="004B0391">
        <w:t>peut-être</w:t>
      </w:r>
      <w:r w:rsidR="00537F8F" w:rsidRPr="00F022D4">
        <w:t xml:space="preserve"> parce qu</w:t>
      </w:r>
      <w:r w:rsidR="005775D7">
        <w:t>’</w:t>
      </w:r>
      <w:r w:rsidR="00537F8F" w:rsidRPr="00F022D4">
        <w:t>il ménage des possibilités d</w:t>
      </w:r>
      <w:r w:rsidR="005775D7">
        <w:t>’</w:t>
      </w:r>
      <w:r w:rsidR="00537F8F" w:rsidRPr="00F022D4">
        <w:t>exception multiples</w:t>
      </w:r>
      <w:r w:rsidR="00363D19" w:rsidRPr="00F022D4">
        <w:t xml:space="preserve"> et récursives</w:t>
      </w:r>
      <w:r w:rsidR="004D6037" w:rsidRPr="00F022D4">
        <w:t>,</w:t>
      </w:r>
      <w:r w:rsidR="00454D63" w:rsidRPr="00F022D4">
        <w:t xml:space="preserve"> dérogeant</w:t>
      </w:r>
      <w:r w:rsidR="004D6037" w:rsidRPr="00F022D4">
        <w:t xml:space="preserve"> </w:t>
      </w:r>
      <w:r w:rsidR="00454D63" w:rsidRPr="00F022D4">
        <w:t>aussi bien aux particularisme</w:t>
      </w:r>
      <w:r w:rsidR="00537F8F" w:rsidRPr="00F022D4">
        <w:t>s des droits nationaux qu</w:t>
      </w:r>
      <w:r w:rsidR="005775D7">
        <w:t>’</w:t>
      </w:r>
      <w:r w:rsidR="00537F8F" w:rsidRPr="00F022D4">
        <w:t>à l</w:t>
      </w:r>
      <w:r w:rsidR="005775D7">
        <w:t>’</w:t>
      </w:r>
      <w:r w:rsidR="00537F8F" w:rsidRPr="00F022D4">
        <w:t>unité du droit de l</w:t>
      </w:r>
      <w:r w:rsidR="005775D7">
        <w:t>’</w:t>
      </w:r>
      <w:r w:rsidR="00537F8F" w:rsidRPr="00F022D4">
        <w:t xml:space="preserve">Union, tout en favorisant un encadrement </w:t>
      </w:r>
      <w:r w:rsidR="004D6037" w:rsidRPr="00F022D4">
        <w:t>de cette diversité</w:t>
      </w:r>
      <w:r w:rsidR="00454D63" w:rsidRPr="00F022D4">
        <w:t>,</w:t>
      </w:r>
      <w:r w:rsidR="004D6037" w:rsidRPr="00F022D4">
        <w:t xml:space="preserve"> mais </w:t>
      </w:r>
      <w:r w:rsidR="00835FB2" w:rsidRPr="00F022D4">
        <w:t>aussi</w:t>
      </w:r>
      <w:r w:rsidR="004D6037" w:rsidRPr="00F022D4">
        <w:t xml:space="preserve"> </w:t>
      </w:r>
      <w:r w:rsidR="00537F8F" w:rsidRPr="00F022D4">
        <w:t>un ra</w:t>
      </w:r>
      <w:r w:rsidR="004D6037" w:rsidRPr="00F022D4">
        <w:t>pprochement dans le temps long.</w:t>
      </w:r>
      <w:r w:rsidR="00454D63" w:rsidRPr="00F022D4">
        <w:t xml:space="preserve"> En d</w:t>
      </w:r>
      <w:r w:rsidR="005775D7">
        <w:t>’</w:t>
      </w:r>
      <w:r w:rsidR="00454D63" w:rsidRPr="00F022D4">
        <w:t xml:space="preserve">autres termes, </w:t>
      </w:r>
      <w:r w:rsidR="0071697B" w:rsidRPr="00F022D4">
        <w:t>processus d</w:t>
      </w:r>
      <w:r w:rsidR="005775D7">
        <w:t>’</w:t>
      </w:r>
      <w:r w:rsidR="0071697B" w:rsidRPr="00F022D4">
        <w:t>intég</w:t>
      </w:r>
      <w:r w:rsidR="0094483F" w:rsidRPr="00F022D4">
        <w:t>r</w:t>
      </w:r>
      <w:r w:rsidR="0071697B" w:rsidRPr="00F022D4">
        <w:t xml:space="preserve">ation et </w:t>
      </w:r>
      <w:r w:rsidR="00835FB2" w:rsidRPr="00F022D4">
        <w:t>reconnaissance mutuelle</w:t>
      </w:r>
      <w:r w:rsidR="0071697B" w:rsidRPr="00F022D4">
        <w:t xml:space="preserve"> seraient lié</w:t>
      </w:r>
      <w:r w:rsidR="00454D63" w:rsidRPr="00F022D4">
        <w:t>s</w:t>
      </w:r>
      <w:r w:rsidR="0071697B" w:rsidRPr="00F022D4">
        <w:t xml:space="preserve">, </w:t>
      </w:r>
      <w:r w:rsidR="00454D63" w:rsidRPr="00F022D4">
        <w:t xml:space="preserve">dans la mesure où </w:t>
      </w:r>
      <w:r w:rsidR="00363D19" w:rsidRPr="00F022D4">
        <w:t>cette dernière</w:t>
      </w:r>
      <w:r w:rsidR="004B0391">
        <w:t xml:space="preserve"> serait </w:t>
      </w:r>
      <w:r w:rsidR="00454D63" w:rsidRPr="00F022D4">
        <w:t>la voie et la mesure d</w:t>
      </w:r>
      <w:r w:rsidR="005775D7">
        <w:t>’</w:t>
      </w:r>
      <w:r w:rsidR="00454D63" w:rsidRPr="00F022D4">
        <w:t>une intégration différenciée</w:t>
      </w:r>
      <w:r w:rsidR="0071697B" w:rsidRPr="00F022D4">
        <w:t xml:space="preserve"> </w:t>
      </w:r>
      <w:r w:rsidR="00D05872" w:rsidRPr="00F022D4">
        <w:rPr>
          <w:i/>
        </w:rPr>
        <w:t>lato sensu</w:t>
      </w:r>
      <w:r w:rsidR="003B5BAF" w:rsidRPr="00F022D4">
        <w:rPr>
          <w:rStyle w:val="Appelnotedebasdep"/>
          <w:i/>
        </w:rPr>
        <w:footnoteReference w:id="14"/>
      </w:r>
      <w:r w:rsidR="00953261" w:rsidRPr="00F022D4">
        <w:rPr>
          <w:i/>
        </w:rPr>
        <w:t xml:space="preserve"> </w:t>
      </w:r>
      <w:r w:rsidR="00953261" w:rsidRPr="00F022D4">
        <w:t>ou</w:t>
      </w:r>
      <w:r w:rsidR="004B4AFC" w:rsidRPr="00F022D4">
        <w:t xml:space="preserve"> </w:t>
      </w:r>
      <w:r w:rsidR="00953261" w:rsidRPr="00F022D4">
        <w:t>différentielle</w:t>
      </w:r>
      <w:r w:rsidR="001F6160" w:rsidRPr="00F022D4">
        <w:t>, c</w:t>
      </w:r>
      <w:r w:rsidR="005775D7">
        <w:t>’</w:t>
      </w:r>
      <w:r w:rsidR="001F6160" w:rsidRPr="00F022D4">
        <w:t xml:space="preserve">est-à-dire </w:t>
      </w:r>
      <w:r w:rsidR="004B4AFC" w:rsidRPr="00F022D4">
        <w:t>d</w:t>
      </w:r>
      <w:r w:rsidR="005775D7">
        <w:t>’</w:t>
      </w:r>
      <w:r w:rsidR="004B4AFC" w:rsidRPr="00F022D4">
        <w:t xml:space="preserve">une intégration </w:t>
      </w:r>
      <w:r w:rsidR="00953261" w:rsidRPr="00F022D4">
        <w:t>ouverte au pluralisme</w:t>
      </w:r>
      <w:r w:rsidR="004B4AFC" w:rsidRPr="00F022D4">
        <w:t xml:space="preserve"> et</w:t>
      </w:r>
      <w:r w:rsidR="00953261" w:rsidRPr="00F022D4">
        <w:t xml:space="preserve"> qu</w:t>
      </w:r>
      <w:r w:rsidR="006A1E2F" w:rsidRPr="00F022D4">
        <w:t>i</w:t>
      </w:r>
      <w:r w:rsidR="00D05872" w:rsidRPr="00F022D4">
        <w:rPr>
          <w:i/>
        </w:rPr>
        <w:t xml:space="preserve"> </w:t>
      </w:r>
      <w:r w:rsidR="001F6160" w:rsidRPr="00F022D4">
        <w:t>apparaî</w:t>
      </w:r>
      <w:r w:rsidR="0071697B" w:rsidRPr="00F022D4">
        <w:t>t de plus en plus comme la marche nécessaire de l</w:t>
      </w:r>
      <w:r w:rsidR="005775D7">
        <w:t>’</w:t>
      </w:r>
      <w:r w:rsidR="0071697B" w:rsidRPr="00F022D4">
        <w:t>Union</w:t>
      </w:r>
      <w:r w:rsidR="0071697B" w:rsidRPr="00F022D4">
        <w:rPr>
          <w:rStyle w:val="Appelnotedebasdep"/>
        </w:rPr>
        <w:footnoteReference w:id="15"/>
      </w:r>
      <w:r w:rsidR="00E95E02" w:rsidRPr="00F022D4">
        <w:t xml:space="preserve"> (II)</w:t>
      </w:r>
      <w:r w:rsidR="0071697B" w:rsidRPr="00F022D4">
        <w:t>.</w:t>
      </w:r>
      <w:r w:rsidR="006A1E2F" w:rsidRPr="00F022D4">
        <w:t xml:space="preserve"> </w:t>
      </w:r>
      <w:r w:rsidR="002E51CE" w:rsidRPr="00F022D4">
        <w:t xml:space="preserve">Afin </w:t>
      </w:r>
      <w:r w:rsidR="006A1E2F" w:rsidRPr="00F022D4">
        <w:t>d</w:t>
      </w:r>
      <w:r w:rsidR="005775D7">
        <w:t>’</w:t>
      </w:r>
      <w:r w:rsidR="006A1E2F" w:rsidRPr="00F022D4">
        <w:t>examiner l</w:t>
      </w:r>
      <w:r w:rsidR="00F55219" w:rsidRPr="00F022D4">
        <w:t>es effets</w:t>
      </w:r>
      <w:r w:rsidR="006A1E2F" w:rsidRPr="00F022D4">
        <w:t xml:space="preserve"> </w:t>
      </w:r>
      <w:r w:rsidR="002A652D" w:rsidRPr="00F022D4">
        <w:t xml:space="preserve">intégratifs </w:t>
      </w:r>
      <w:r w:rsidR="006A1E2F" w:rsidRPr="00F022D4">
        <w:t>ainsi</w:t>
      </w:r>
      <w:r w:rsidR="00F55219" w:rsidRPr="00F022D4">
        <w:t xml:space="preserve"> </w:t>
      </w:r>
      <w:r w:rsidR="006A1E2F" w:rsidRPr="00F022D4">
        <w:t xml:space="preserve">produits </w:t>
      </w:r>
      <w:r w:rsidR="00F55219" w:rsidRPr="00F022D4">
        <w:t xml:space="preserve">au </w:t>
      </w:r>
      <w:r w:rsidR="006A1E2F" w:rsidRPr="00F022D4">
        <w:t>niveau européen</w:t>
      </w:r>
      <w:r w:rsidR="002E51CE" w:rsidRPr="00F022D4">
        <w:t xml:space="preserve">, </w:t>
      </w:r>
      <w:r w:rsidR="00F77A99" w:rsidRPr="00F022D4">
        <w:t xml:space="preserve">il </w:t>
      </w:r>
      <w:r w:rsidR="006A1E2F" w:rsidRPr="00F022D4">
        <w:t>est</w:t>
      </w:r>
      <w:r w:rsidR="002E51CE" w:rsidRPr="00F022D4">
        <w:t xml:space="preserve"> </w:t>
      </w:r>
      <w:r w:rsidR="00F77A99" w:rsidRPr="00F022D4">
        <w:t>nécessaire</w:t>
      </w:r>
      <w:r w:rsidR="00E95E02" w:rsidRPr="00F022D4">
        <w:t xml:space="preserve"> dans un premier temps de « décentrer » l</w:t>
      </w:r>
      <w:r w:rsidR="005775D7">
        <w:t>’</w:t>
      </w:r>
      <w:r w:rsidR="00E95E02" w:rsidRPr="00F022D4">
        <w:t>analyse</w:t>
      </w:r>
      <w:r w:rsidR="002E51CE" w:rsidRPr="00F022D4">
        <w:t xml:space="preserve"> de ce principe à vocation </w:t>
      </w:r>
      <w:r w:rsidR="0094483F" w:rsidRPr="00F022D4">
        <w:t>systémique.</w:t>
      </w:r>
      <w:r w:rsidR="00AE2E6A" w:rsidRPr="00F022D4">
        <w:t xml:space="preserve"> </w:t>
      </w:r>
      <w:r w:rsidR="00E95E02" w:rsidRPr="00F022D4">
        <w:t>En </w:t>
      </w:r>
      <w:r w:rsidR="00CF64AC" w:rsidRPr="00F022D4">
        <w:t>s</w:t>
      </w:r>
      <w:r w:rsidR="005775D7">
        <w:t>’</w:t>
      </w:r>
      <w:r w:rsidR="00CF64AC" w:rsidRPr="00F022D4">
        <w:t xml:space="preserve">inspirant de la méthodologie </w:t>
      </w:r>
      <w:proofErr w:type="spellStart"/>
      <w:r w:rsidR="00CF64AC" w:rsidRPr="00F022D4">
        <w:t>multiscalaire</w:t>
      </w:r>
      <w:proofErr w:type="spellEnd"/>
      <w:r w:rsidR="00CF64AC" w:rsidRPr="00F022D4">
        <w:t xml:space="preserve"> d</w:t>
      </w:r>
      <w:r w:rsidR="00E95E02" w:rsidRPr="00F022D4">
        <w:t>es</w:t>
      </w:r>
      <w:r w:rsidR="00CF64AC" w:rsidRPr="00F022D4">
        <w:t xml:space="preserve"> géographe</w:t>
      </w:r>
      <w:r w:rsidR="00E95E02" w:rsidRPr="00F022D4">
        <w:t>s</w:t>
      </w:r>
      <w:r w:rsidR="00AE2E6A" w:rsidRPr="00F022D4">
        <w:rPr>
          <w:rStyle w:val="Appelnotedebasdep"/>
        </w:rPr>
        <w:footnoteReference w:id="16"/>
      </w:r>
      <w:r w:rsidR="00363D19" w:rsidRPr="00F022D4">
        <w:t>, on considérera en effet qu</w:t>
      </w:r>
      <w:r w:rsidR="005775D7">
        <w:t>’</w:t>
      </w:r>
      <w:r w:rsidR="00363D19" w:rsidRPr="00F022D4">
        <w:t>il faut s</w:t>
      </w:r>
      <w:r w:rsidR="005775D7">
        <w:t>’</w:t>
      </w:r>
      <w:r w:rsidR="00363D19" w:rsidRPr="00F022D4">
        <w:t xml:space="preserve">efforcer </w:t>
      </w:r>
      <w:r w:rsidR="00E560C5" w:rsidRPr="00F022D4">
        <w:t>« d</w:t>
      </w:r>
      <w:r w:rsidR="005775D7">
        <w:t>’</w:t>
      </w:r>
      <w:r w:rsidR="00E560C5" w:rsidRPr="00F022D4">
        <w:t xml:space="preserve">ordonner la </w:t>
      </w:r>
      <w:r w:rsidR="00363D19" w:rsidRPr="00F022D4">
        <w:t>description et le raisonnement</w:t>
      </w:r>
      <w:r w:rsidR="00E560C5" w:rsidRPr="00F022D4">
        <w:t xml:space="preserve"> en différents niveaux d</w:t>
      </w:r>
      <w:r w:rsidR="005775D7">
        <w:t>’</w:t>
      </w:r>
      <w:r w:rsidR="00E560C5" w:rsidRPr="00F022D4">
        <w:t xml:space="preserve">analyse spatiale qui correspondent à différents ordres de grandeurs des objets [juridiques], </w:t>
      </w:r>
      <w:r w:rsidR="007E63C9" w:rsidRPr="00F022D4">
        <w:t xml:space="preserve">afin de </w:t>
      </w:r>
      <w:r w:rsidR="00E560C5" w:rsidRPr="00F022D4">
        <w:t>rendre compte de la diversité des combinaisons des phé</w:t>
      </w:r>
      <w:r w:rsidR="00363D19" w:rsidRPr="00F022D4">
        <w:t>nomènes </w:t>
      </w:r>
      <w:r w:rsidR="007E63C9" w:rsidRPr="00F022D4">
        <w:t>»</w:t>
      </w:r>
      <w:r w:rsidR="007E63C9" w:rsidRPr="00F022D4">
        <w:rPr>
          <w:rStyle w:val="Appelnotedebasdep"/>
        </w:rPr>
        <w:footnoteReference w:id="17"/>
      </w:r>
      <w:r w:rsidR="00E560C5" w:rsidRPr="00F022D4">
        <w:t>.</w:t>
      </w:r>
      <w:r w:rsidR="00F50533" w:rsidRPr="00F022D4">
        <w:t xml:space="preserve"> </w:t>
      </w:r>
      <w:r w:rsidR="00363D19" w:rsidRPr="00F022D4">
        <w:t>Vis-à-vis du droit de l</w:t>
      </w:r>
      <w:r w:rsidR="005775D7">
        <w:t>’</w:t>
      </w:r>
      <w:r w:rsidR="00363D19" w:rsidRPr="00F022D4">
        <w:t>Union, l</w:t>
      </w:r>
      <w:r w:rsidR="00CF64AC" w:rsidRPr="00F022D4">
        <w:t>a</w:t>
      </w:r>
      <w:r w:rsidR="0020042F" w:rsidRPr="00F022D4">
        <w:t> </w:t>
      </w:r>
      <w:r w:rsidR="00CF64AC" w:rsidRPr="00F022D4">
        <w:t xml:space="preserve">démarche </w:t>
      </w:r>
      <w:proofErr w:type="spellStart"/>
      <w:r w:rsidR="00363D19" w:rsidRPr="00F022D4">
        <w:t>multiscalaire</w:t>
      </w:r>
      <w:proofErr w:type="spellEnd"/>
      <w:r w:rsidR="001B650E" w:rsidRPr="00F022D4">
        <w:t xml:space="preserve"> </w:t>
      </w:r>
      <w:r w:rsidR="006A1E2F" w:rsidRPr="00F022D4">
        <w:t xml:space="preserve">met </w:t>
      </w:r>
      <w:r w:rsidR="00363D19" w:rsidRPr="00F022D4">
        <w:t xml:space="preserve">ainsi </w:t>
      </w:r>
      <w:r w:rsidR="006A1E2F" w:rsidRPr="00F022D4">
        <w:t xml:space="preserve">en </w:t>
      </w:r>
      <w:r w:rsidR="006A1E2F" w:rsidRPr="00F022D4">
        <w:lastRenderedPageBreak/>
        <w:t>évidence que</w:t>
      </w:r>
      <w:r w:rsidR="001B650E" w:rsidRPr="00F022D4">
        <w:t xml:space="preserve"> le lien</w:t>
      </w:r>
      <w:r w:rsidR="006B43B1" w:rsidRPr="00F022D4">
        <w:t xml:space="preserve"> réciproque d</w:t>
      </w:r>
      <w:r w:rsidR="005775D7">
        <w:t>’</w:t>
      </w:r>
      <w:r w:rsidR="006B43B1" w:rsidRPr="00F022D4">
        <w:t>information</w:t>
      </w:r>
      <w:r w:rsidR="001B650E" w:rsidRPr="00F022D4">
        <w:t xml:space="preserve"> entre l</w:t>
      </w:r>
      <w:r w:rsidR="005775D7">
        <w:t>’</w:t>
      </w:r>
      <w:r w:rsidR="001B650E" w:rsidRPr="00F022D4">
        <w:t xml:space="preserve">intégration et le </w:t>
      </w:r>
      <w:r w:rsidR="0009745C" w:rsidRPr="00F022D4">
        <w:t>principe de reconnaissance mutuelle</w:t>
      </w:r>
      <w:r w:rsidR="001B650E" w:rsidRPr="00F022D4">
        <w:t xml:space="preserve"> </w:t>
      </w:r>
      <w:r w:rsidR="006A1E2F" w:rsidRPr="00F022D4">
        <w:t xml:space="preserve">se réalise à </w:t>
      </w:r>
      <w:r w:rsidR="00363D19" w:rsidRPr="00F022D4">
        <w:t>partir d</w:t>
      </w:r>
      <w:r w:rsidR="005775D7">
        <w:t>’</w:t>
      </w:r>
      <w:r w:rsidR="00363D19" w:rsidRPr="00F022D4">
        <w:t>un dépassement du territoire</w:t>
      </w:r>
      <w:r w:rsidR="004B4AFC" w:rsidRPr="00F022D4">
        <w:t xml:space="preserve"> (I)</w:t>
      </w:r>
      <w:r w:rsidR="006A1E2F" w:rsidRPr="00F022D4">
        <w:t>.</w:t>
      </w:r>
    </w:p>
    <w:p w14:paraId="5B9E6102" w14:textId="42F3081F" w:rsidR="00F53C19" w:rsidRDefault="000263F3" w:rsidP="004F3CBA">
      <w:pPr>
        <w:pStyle w:val="Titre2"/>
        <w:numPr>
          <w:ilvl w:val="0"/>
          <w:numId w:val="18"/>
        </w:numPr>
      </w:pPr>
      <w:r>
        <w:t xml:space="preserve">Exception et territoire : un principe </w:t>
      </w:r>
      <w:proofErr w:type="spellStart"/>
      <w:r w:rsidR="004F3CBA">
        <w:t>multiscalaire</w:t>
      </w:r>
      <w:proofErr w:type="spellEnd"/>
      <w:r w:rsidR="00363D19">
        <w:t xml:space="preserve"> </w:t>
      </w:r>
    </w:p>
    <w:p w14:paraId="3133E7E7" w14:textId="49331DBE" w:rsidR="004F3CBA" w:rsidRPr="00863793" w:rsidRDefault="004F3CBA" w:rsidP="004F3CBA">
      <w:r w:rsidRPr="00F87545">
        <w:rPr>
          <w:spacing w:val="-2"/>
        </w:rPr>
        <w:t xml:space="preserve">Le recours à la méthode </w:t>
      </w:r>
      <w:proofErr w:type="spellStart"/>
      <w:r w:rsidRPr="00F87545">
        <w:rPr>
          <w:spacing w:val="-2"/>
        </w:rPr>
        <w:t>mult</w:t>
      </w:r>
      <w:r w:rsidR="00863793" w:rsidRPr="00F87545">
        <w:rPr>
          <w:spacing w:val="-2"/>
        </w:rPr>
        <w:t>i</w:t>
      </w:r>
      <w:r w:rsidRPr="00F87545">
        <w:rPr>
          <w:spacing w:val="-2"/>
        </w:rPr>
        <w:t>scalaire</w:t>
      </w:r>
      <w:proofErr w:type="spellEnd"/>
      <w:r w:rsidR="00E8705A" w:rsidRPr="00F87545">
        <w:rPr>
          <w:spacing w:val="-2"/>
        </w:rPr>
        <w:t xml:space="preserve"> pour construire l</w:t>
      </w:r>
      <w:r w:rsidR="005775D7" w:rsidRPr="00F87545">
        <w:rPr>
          <w:spacing w:val="-2"/>
        </w:rPr>
        <w:t>’</w:t>
      </w:r>
      <w:r w:rsidR="00E8705A" w:rsidRPr="00F87545">
        <w:rPr>
          <w:spacing w:val="-2"/>
        </w:rPr>
        <w:t xml:space="preserve">analyse </w:t>
      </w:r>
      <w:r w:rsidR="00F87545" w:rsidRPr="00F87545">
        <w:rPr>
          <w:spacing w:val="-2"/>
        </w:rPr>
        <w:t>s’impose comme</w:t>
      </w:r>
      <w:r w:rsidR="00863793" w:rsidRPr="00F87545">
        <w:rPr>
          <w:spacing w:val="-2"/>
        </w:rPr>
        <w:t xml:space="preserve"> une évidence :</w:t>
      </w:r>
      <w:r w:rsidR="00E8705A">
        <w:t xml:space="preserve"> le </w:t>
      </w:r>
      <w:r w:rsidR="0009745C">
        <w:t>principe de reconnaissance mutuelle</w:t>
      </w:r>
      <w:r w:rsidR="00863793" w:rsidRPr="00863793">
        <w:t xml:space="preserve"> est en lui-même un </w:t>
      </w:r>
      <w:r w:rsidRPr="00A20BCC">
        <w:t>« mécanisme de décentrement »</w:t>
      </w:r>
      <w:r w:rsidR="00863793" w:rsidRPr="00A20BCC">
        <w:t xml:space="preserve">, dans la mesure où </w:t>
      </w:r>
      <w:r w:rsidRPr="00A20BCC">
        <w:t>il introduit un rapport d</w:t>
      </w:r>
      <w:r w:rsidR="005775D7">
        <w:t>’</w:t>
      </w:r>
      <w:r w:rsidRPr="00A20BCC">
        <w:t>exception aux territoires des Etats qu</w:t>
      </w:r>
      <w:r w:rsidR="005775D7">
        <w:t>’</w:t>
      </w:r>
      <w:r w:rsidRPr="00A20BCC">
        <w:t xml:space="preserve">il transcende, </w:t>
      </w:r>
      <w:r w:rsidR="00863793" w:rsidRPr="00A20BCC">
        <w:t xml:space="preserve">et donne ainsi une consistance à un </w:t>
      </w:r>
      <w:r w:rsidRPr="00A20BCC">
        <w:t xml:space="preserve">espace normatif </w:t>
      </w:r>
      <w:r w:rsidR="00863793" w:rsidRPr="00A20BCC">
        <w:t>transnational au niveau de</w:t>
      </w:r>
      <w:r w:rsidRPr="00A20BCC">
        <w:t xml:space="preserve"> l</w:t>
      </w:r>
      <w:r w:rsidR="005775D7">
        <w:t>’</w:t>
      </w:r>
      <w:r w:rsidRPr="00A20BCC">
        <w:t>Union</w:t>
      </w:r>
      <w:r w:rsidR="00E8705A">
        <w:t>. Le </w:t>
      </w:r>
      <w:r w:rsidR="0009745C">
        <w:t>principe de reconnaissance mutuelle</w:t>
      </w:r>
      <w:r w:rsidRPr="00863793">
        <w:t xml:space="preserve"> </w:t>
      </w:r>
      <w:r w:rsidR="00863793" w:rsidRPr="00863793">
        <w:t xml:space="preserve">revêt en ce sens une </w:t>
      </w:r>
      <w:r w:rsidRPr="00863793">
        <w:t>dimension « architecturale », aussi bien dans les rapports de norme à norme (A)</w:t>
      </w:r>
      <w:r w:rsidR="00E8705A">
        <w:t>,</w:t>
      </w:r>
      <w:r w:rsidRPr="00863793">
        <w:t xml:space="preserve"> que pour les rapports entre ordres juridiques (B).</w:t>
      </w:r>
    </w:p>
    <w:p w14:paraId="7D0E34B3" w14:textId="66A8433A" w:rsidR="00F53C19" w:rsidRDefault="00F53C19" w:rsidP="00655EA1">
      <w:pPr>
        <w:pStyle w:val="Titre3"/>
      </w:pPr>
      <w:r>
        <w:t>L</w:t>
      </w:r>
      <w:r w:rsidR="005775D7">
        <w:t>’</w:t>
      </w:r>
      <w:r>
        <w:t xml:space="preserve">échelle normative : </w:t>
      </w:r>
      <w:r w:rsidR="000263F3">
        <w:t>une double exception à la territorialité du droit</w:t>
      </w:r>
    </w:p>
    <w:p w14:paraId="0DA082C3" w14:textId="4F5AA114" w:rsidR="00581655" w:rsidRPr="00A20BCC" w:rsidRDefault="00581655" w:rsidP="00581655">
      <w:r w:rsidRPr="00A20BCC">
        <w:t>A l</w:t>
      </w:r>
      <w:r w:rsidR="005775D7">
        <w:t>’</w:t>
      </w:r>
      <w:r w:rsidRPr="00A20BCC">
        <w:t>échelle normative se met en place</w:t>
      </w:r>
      <w:r w:rsidR="00A20BCC">
        <w:t>,</w:t>
      </w:r>
      <w:r w:rsidRPr="00A20BCC">
        <w:t xml:space="preserve"> au moment de l</w:t>
      </w:r>
      <w:r w:rsidR="005775D7">
        <w:t>’</w:t>
      </w:r>
      <w:r w:rsidRPr="00A20BCC">
        <w:t>application de la règle de droit dans les Etats</w:t>
      </w:r>
      <w:r w:rsidR="00A20BCC">
        <w:t xml:space="preserve"> membres,</w:t>
      </w:r>
      <w:r w:rsidRPr="00A20BCC">
        <w:t xml:space="preserve"> une double exception à la territorialité du droit. </w:t>
      </w:r>
    </w:p>
    <w:p w14:paraId="6330A509" w14:textId="6C7DFDA8" w:rsidR="00581655" w:rsidRDefault="00581655" w:rsidP="00551BB4">
      <w:r>
        <w:t>En premier lieu, l</w:t>
      </w:r>
      <w:r w:rsidR="00551BB4">
        <w:t xml:space="preserve">e </w:t>
      </w:r>
      <w:r w:rsidR="0009745C">
        <w:t>principe de reconnaissance mutuelle</w:t>
      </w:r>
      <w:r w:rsidR="00551BB4">
        <w:t xml:space="preserve"> induit par son fonctionnement une exception à la territorialité du droit, en favorisant l</w:t>
      </w:r>
      <w:r w:rsidR="005775D7">
        <w:t>’</w:t>
      </w:r>
      <w:r w:rsidR="00551BB4">
        <w:t>exécution</w:t>
      </w:r>
      <w:r w:rsidR="00C84BF7">
        <w:t xml:space="preserve"> – en principe</w:t>
      </w:r>
      <w:r w:rsidR="00551BB4">
        <w:t xml:space="preserve"> automatique</w:t>
      </w:r>
      <w:r w:rsidR="007D346F">
        <w:rPr>
          <w:rStyle w:val="Appelnotedebasdep"/>
        </w:rPr>
        <w:footnoteReference w:id="18"/>
      </w:r>
      <w:r w:rsidR="00551BB4">
        <w:t xml:space="preserve"> </w:t>
      </w:r>
      <w:r w:rsidR="00C84BF7">
        <w:t xml:space="preserve">– </w:t>
      </w:r>
      <w:r w:rsidR="00551BB4">
        <w:t>des décisions rendues au sein d</w:t>
      </w:r>
      <w:r w:rsidR="005775D7">
        <w:t>’</w:t>
      </w:r>
      <w:r w:rsidR="00551BB4">
        <w:t xml:space="preserve">un premier Etat </w:t>
      </w:r>
      <w:r w:rsidR="00A20BCC">
        <w:t xml:space="preserve">membre </w:t>
      </w:r>
      <w:r w:rsidR="00551BB4">
        <w:t>dans un second. Ce mécanisme, qui s</w:t>
      </w:r>
      <w:r w:rsidR="005775D7">
        <w:t>’</w:t>
      </w:r>
      <w:r w:rsidR="00551BB4">
        <w:t>est généralisé à l</w:t>
      </w:r>
      <w:r w:rsidR="005775D7">
        <w:t>’</w:t>
      </w:r>
      <w:r w:rsidR="00551BB4">
        <w:t>ensemble des politiques européenne</w:t>
      </w:r>
      <w:r w:rsidR="00A44067">
        <w:t xml:space="preserve">s </w:t>
      </w:r>
      <w:r w:rsidR="00BC2DE2">
        <w:t>reposant</w:t>
      </w:r>
      <w:r w:rsidR="000A69BB">
        <w:t xml:space="preserve"> sur</w:t>
      </w:r>
      <w:r w:rsidR="00A44067">
        <w:t xml:space="preserve"> un espace juridique</w:t>
      </w:r>
      <w:r w:rsidR="00BC2DE2">
        <w:t>ment</w:t>
      </w:r>
      <w:r w:rsidR="00A44067">
        <w:t xml:space="preserve"> ouvert, a ainsi </w:t>
      </w:r>
      <w:r w:rsidR="00F87545">
        <w:t>conduit à</w:t>
      </w:r>
      <w:r w:rsidR="00A44067">
        <w:t xml:space="preserve"> un phénomène de déterritorialisation du droit public, c</w:t>
      </w:r>
      <w:r w:rsidR="005775D7">
        <w:t>’</w:t>
      </w:r>
      <w:r w:rsidR="00A44067">
        <w:t>est-à-dire à un dépassement du lien traditionnel entre le territoire et le caractère obligatoire d</w:t>
      </w:r>
      <w:r w:rsidR="005775D7">
        <w:t>’</w:t>
      </w:r>
      <w:r w:rsidR="00A44067">
        <w:t>une norme juridique émise par une autorité nationale</w:t>
      </w:r>
      <w:r w:rsidR="00A44067">
        <w:rPr>
          <w:rStyle w:val="Appelnotedebasdep"/>
        </w:rPr>
        <w:footnoteReference w:id="19"/>
      </w:r>
      <w:r w:rsidR="00A44067">
        <w:t>. En d</w:t>
      </w:r>
      <w:r w:rsidR="005775D7">
        <w:t>’</w:t>
      </w:r>
      <w:r w:rsidR="00A44067">
        <w:t xml:space="preserve">autres termes, la </w:t>
      </w:r>
      <w:r w:rsidR="00E95E02">
        <w:t>reconnaissance mutuelle</w:t>
      </w:r>
      <w:r w:rsidR="00A44067">
        <w:t xml:space="preserve"> impose de faire exception à l</w:t>
      </w:r>
      <w:r w:rsidR="005775D7">
        <w:t>’</w:t>
      </w:r>
      <w:r w:rsidR="00A44067">
        <w:t>idée usuellement reçu</w:t>
      </w:r>
      <w:r w:rsidR="00A20BCC">
        <w:t>e</w:t>
      </w:r>
      <w:r w:rsidR="00E8705A">
        <w:t xml:space="preserve"> en droit international</w:t>
      </w:r>
      <w:r w:rsidR="00A44067">
        <w:t xml:space="preserve"> selon laquelle une </w:t>
      </w:r>
      <w:r w:rsidR="00FB4F74">
        <w:t>norme</w:t>
      </w:r>
      <w:r w:rsidR="00A44067">
        <w:t xml:space="preserve"> étrangère doit être traitée comme un élément factuel et non comme du droit</w:t>
      </w:r>
      <w:r w:rsidR="00C84BF7">
        <w:t>, c</w:t>
      </w:r>
      <w:r w:rsidR="005775D7">
        <w:t>’</w:t>
      </w:r>
      <w:r w:rsidR="00C84BF7">
        <w:t>est-à-dire comme un acte juridique doté d</w:t>
      </w:r>
      <w:r w:rsidR="005775D7">
        <w:t>’</w:t>
      </w:r>
      <w:r w:rsidR="00C84BF7">
        <w:t>effets obligatoires</w:t>
      </w:r>
      <w:r w:rsidR="00106BEB">
        <w:rPr>
          <w:rStyle w:val="Appelnotedebasdep"/>
        </w:rPr>
        <w:footnoteReference w:id="20"/>
      </w:r>
      <w:r w:rsidR="00A44067">
        <w:t>.</w:t>
      </w:r>
      <w:r w:rsidR="001D355D">
        <w:t xml:space="preserve"> </w:t>
      </w:r>
      <w:r w:rsidR="00A20BCC">
        <w:t xml:space="preserve">En vertu de la reconnaissance </w:t>
      </w:r>
      <w:r w:rsidR="00A20BCC">
        <w:lastRenderedPageBreak/>
        <w:t>mutuelle, l</w:t>
      </w:r>
      <w:r w:rsidR="005B1399">
        <w:t>a </w:t>
      </w:r>
      <w:r w:rsidR="00EB3D5E">
        <w:t xml:space="preserve">frontière </w:t>
      </w:r>
      <w:r w:rsidR="00A20BCC">
        <w:t>n</w:t>
      </w:r>
      <w:r w:rsidR="005775D7">
        <w:t>’</w:t>
      </w:r>
      <w:r w:rsidR="00A20BCC">
        <w:t>apparaît</w:t>
      </w:r>
      <w:r w:rsidR="00EB3D5E">
        <w:t xml:space="preserve"> </w:t>
      </w:r>
      <w:r w:rsidR="00A20BCC">
        <w:t xml:space="preserve">plus </w:t>
      </w:r>
      <w:r w:rsidR="00204DC7">
        <w:t xml:space="preserve">au regard de ces « décisions transnationales » comme </w:t>
      </w:r>
      <w:r w:rsidR="00A20BCC">
        <w:t xml:space="preserve">une limite absolue </w:t>
      </w:r>
      <w:r w:rsidR="00EB3D5E">
        <w:t>à l</w:t>
      </w:r>
      <w:r w:rsidR="005775D7">
        <w:t>’</w:t>
      </w:r>
      <w:r w:rsidR="00EB3D5E">
        <w:t>exercice de la souveraineté</w:t>
      </w:r>
      <w:r w:rsidR="00EB3D5E">
        <w:rPr>
          <w:rStyle w:val="Appelnotedebasdep"/>
        </w:rPr>
        <w:footnoteReference w:id="21"/>
      </w:r>
      <w:r w:rsidR="00EB3D5E">
        <w:t xml:space="preserve">. </w:t>
      </w:r>
    </w:p>
    <w:p w14:paraId="03E5CEA3" w14:textId="68BAD05E" w:rsidR="00CB5811" w:rsidRDefault="00C84BF7" w:rsidP="00CB5811">
      <w:r>
        <w:t xml:space="preserve">Ainsi </w:t>
      </w:r>
      <w:r w:rsidRPr="00C84BF7">
        <w:t>d</w:t>
      </w:r>
      <w:r>
        <w:t>ès l</w:t>
      </w:r>
      <w:r w:rsidR="005775D7">
        <w:t>’</w:t>
      </w:r>
      <w:r w:rsidRPr="00C84BF7">
        <w:t xml:space="preserve">arrêt </w:t>
      </w:r>
      <w:proofErr w:type="spellStart"/>
      <w:r w:rsidRPr="00C84BF7">
        <w:rPr>
          <w:i/>
        </w:rPr>
        <w:t>Baubuis</w:t>
      </w:r>
      <w:proofErr w:type="spellEnd"/>
      <w:r w:rsidRPr="00C84BF7">
        <w:t xml:space="preserve"> de 1977, la Cour de justice s</w:t>
      </w:r>
      <w:r w:rsidR="005775D7">
        <w:t>’</w:t>
      </w:r>
      <w:r w:rsidRPr="00C84BF7">
        <w:t>oppose</w:t>
      </w:r>
      <w:r>
        <w:t xml:space="preserve">, </w:t>
      </w:r>
      <w:r w:rsidR="00581655" w:rsidRPr="00C84BF7">
        <w:t xml:space="preserve">au nom de « la confiance que doivent se témoigner les </w:t>
      </w:r>
      <w:r>
        <w:t>Etats membres</w:t>
      </w:r>
      <w:r w:rsidR="00581655" w:rsidRPr="00C84BF7">
        <w:t xml:space="preserve"> en ce qui concerne les garanties offertes par les contrôles effectués »</w:t>
      </w:r>
      <w:r w:rsidRPr="00C84BF7">
        <w:t>,</w:t>
      </w:r>
      <w:r w:rsidR="00581655" w:rsidRPr="00C84BF7">
        <w:t xml:space="preserve"> à ce </w:t>
      </w:r>
      <w:r>
        <w:t>que l</w:t>
      </w:r>
      <w:r w:rsidR="005775D7">
        <w:t>’</w:t>
      </w:r>
      <w:r>
        <w:t>Etat d</w:t>
      </w:r>
      <w:r w:rsidR="005775D7">
        <w:t>’</w:t>
      </w:r>
      <w:r>
        <w:t>accueil</w:t>
      </w:r>
      <w:r w:rsidR="00581655" w:rsidRPr="00C84BF7">
        <w:t xml:space="preserve"> vérifie le respect des normes sanitaires à l</w:t>
      </w:r>
      <w:r w:rsidR="005775D7">
        <w:t>’</w:t>
      </w:r>
      <w:r w:rsidR="00581655" w:rsidRPr="00C84BF7">
        <w:t>encontre de bétails ayant déjà fait l</w:t>
      </w:r>
      <w:r w:rsidR="005775D7">
        <w:t>’</w:t>
      </w:r>
      <w:r w:rsidR="00581655" w:rsidRPr="00C84BF7">
        <w:t>objet d</w:t>
      </w:r>
      <w:r w:rsidR="005775D7">
        <w:t>’</w:t>
      </w:r>
      <w:r w:rsidR="00581655" w:rsidRPr="00C84BF7">
        <w:t>un contrôle vétérinaire dans l</w:t>
      </w:r>
      <w:r w:rsidR="005775D7">
        <w:t>’</w:t>
      </w:r>
      <w:r w:rsidR="00581655" w:rsidRPr="00C84BF7">
        <w:t>Etat d</w:t>
      </w:r>
      <w:r w:rsidR="005775D7">
        <w:t>’</w:t>
      </w:r>
      <w:r w:rsidR="00581655" w:rsidRPr="00C84BF7">
        <w:t>origine.</w:t>
      </w:r>
      <w:r>
        <w:t xml:space="preserve"> </w:t>
      </w:r>
      <w:r w:rsidRPr="00C84BF7">
        <w:t>Deux ans plus tard, l</w:t>
      </w:r>
      <w:r w:rsidR="005775D7">
        <w:t>’</w:t>
      </w:r>
      <w:r w:rsidR="00581655" w:rsidRPr="00C84BF7">
        <w:t xml:space="preserve">affaire </w:t>
      </w:r>
      <w:r w:rsidR="00581655" w:rsidRPr="00C84BF7">
        <w:rPr>
          <w:i/>
        </w:rPr>
        <w:t>Cassis de Dijon</w:t>
      </w:r>
      <w:r w:rsidR="00581655" w:rsidRPr="00C84BF7">
        <w:t xml:space="preserve"> </w:t>
      </w:r>
      <w:r w:rsidRPr="00C84BF7">
        <w:t>sera</w:t>
      </w:r>
      <w:r w:rsidR="00581655" w:rsidRPr="00C84BF7">
        <w:t xml:space="preserve"> l</w:t>
      </w:r>
      <w:r w:rsidR="005775D7">
        <w:t>’</w:t>
      </w:r>
      <w:r w:rsidR="00581655" w:rsidRPr="00C84BF7">
        <w:t>occasion de systématiser ce principe, en affirmant qu</w:t>
      </w:r>
      <w:r w:rsidR="005775D7">
        <w:t>’</w:t>
      </w:r>
      <w:r w:rsidR="00581655" w:rsidRPr="00C84BF7">
        <w:t xml:space="preserve">« un </w:t>
      </w:r>
      <w:r w:rsidRPr="00C84BF7">
        <w:t>Etat membre</w:t>
      </w:r>
      <w:r w:rsidR="00581655" w:rsidRPr="00C84BF7">
        <w:t xml:space="preserve"> ne saurait interdire la vente sur son territoire d</w:t>
      </w:r>
      <w:r w:rsidR="005775D7">
        <w:t>’</w:t>
      </w:r>
      <w:r w:rsidR="00581655" w:rsidRPr="00C84BF7">
        <w:t xml:space="preserve">un produit légalement fabriqué et commercialisé dans un autre </w:t>
      </w:r>
      <w:r w:rsidRPr="00C84BF7">
        <w:t>Etat membre</w:t>
      </w:r>
      <w:r w:rsidR="00581655" w:rsidRPr="00C84BF7">
        <w:t>, même si ce produit est fabriqué selon des prescriptions techniques ou qualitatives différences de celles imposées à ses propres produits »</w:t>
      </w:r>
      <w:r w:rsidR="002E5F8F">
        <w:rPr>
          <w:rStyle w:val="Appelnotedebasdep"/>
        </w:rPr>
        <w:footnoteReference w:id="22"/>
      </w:r>
      <w:r w:rsidR="00581655" w:rsidRPr="00C84BF7">
        <w:t>.</w:t>
      </w:r>
      <w:r w:rsidR="00EE6C2B">
        <w:rPr>
          <w:i/>
        </w:rPr>
        <w:t xml:space="preserve"> </w:t>
      </w:r>
      <w:r w:rsidR="00EE6C2B" w:rsidRPr="00EE6C2B">
        <w:t>L</w:t>
      </w:r>
      <w:r w:rsidR="00581655" w:rsidRPr="00EE6C2B">
        <w:t xml:space="preserve">a </w:t>
      </w:r>
      <w:r w:rsidR="00EE6C2B" w:rsidRPr="00EE6C2B">
        <w:t>reconnaissance mutuelle sera ensuite</w:t>
      </w:r>
      <w:r w:rsidR="00581655" w:rsidRPr="00EE6C2B">
        <w:t xml:space="preserve"> étendue à la circulation de l</w:t>
      </w:r>
      <w:r w:rsidR="005775D7">
        <w:t>’</w:t>
      </w:r>
      <w:r w:rsidR="00581655" w:rsidRPr="00EE6C2B">
        <w:t>ensemble des facteurs de productions, pour à chaque fois faire exception à l</w:t>
      </w:r>
      <w:r w:rsidR="005775D7">
        <w:t>’</w:t>
      </w:r>
      <w:r w:rsidR="00581655" w:rsidRPr="00EE6C2B">
        <w:t>application du droit du territoire d</w:t>
      </w:r>
      <w:r w:rsidR="005775D7">
        <w:t>’</w:t>
      </w:r>
      <w:r w:rsidR="00581655" w:rsidRPr="00EE6C2B">
        <w:t>accueil au profit de celui du « pays d</w:t>
      </w:r>
      <w:r w:rsidR="005775D7">
        <w:t>’</w:t>
      </w:r>
      <w:r w:rsidR="00581655" w:rsidRPr="00EE6C2B">
        <w:t>origine »</w:t>
      </w:r>
      <w:r w:rsidR="001D527D">
        <w:rPr>
          <w:rStyle w:val="Appelnotedebasdep"/>
        </w:rPr>
        <w:footnoteReference w:id="23"/>
      </w:r>
      <w:r w:rsidR="00581655" w:rsidRPr="00EE6C2B">
        <w:t xml:space="preserve">. </w:t>
      </w:r>
    </w:p>
    <w:p w14:paraId="7D3EFED5" w14:textId="44A6E160" w:rsidR="00CB5811" w:rsidRDefault="00CB5811" w:rsidP="00CB5811">
      <w:r>
        <w:t>La reconnaissance mutuelle prend parfois des f</w:t>
      </w:r>
      <w:r w:rsidR="00C3598B">
        <w:t>ormes moins explicites. Il en va ainsi, p</w:t>
      </w:r>
      <w:r w:rsidR="006A0D0D">
        <w:t>ar exemple</w:t>
      </w:r>
      <w:r w:rsidR="00C3598B">
        <w:t>, dans l</w:t>
      </w:r>
      <w:r w:rsidR="005775D7">
        <w:t>’</w:t>
      </w:r>
      <w:r w:rsidR="00C3598B">
        <w:t xml:space="preserve">arrêt </w:t>
      </w:r>
      <w:proofErr w:type="spellStart"/>
      <w:r w:rsidR="00C3598B">
        <w:rPr>
          <w:i/>
        </w:rPr>
        <w:t>Polbud</w:t>
      </w:r>
      <w:proofErr w:type="spellEnd"/>
      <w:r w:rsidR="00C3598B">
        <w:rPr>
          <w:rStyle w:val="Appelnotedebasdep"/>
        </w:rPr>
        <w:footnoteReference w:id="24"/>
      </w:r>
      <w:r w:rsidR="00C3598B">
        <w:t xml:space="preserve"> dans lequel la Cour considère qu</w:t>
      </w:r>
      <w:r w:rsidR="005775D7">
        <w:t>’</w:t>
      </w:r>
      <w:r>
        <w:t>au nom de la liberté d</w:t>
      </w:r>
      <w:r w:rsidR="005775D7">
        <w:t>’</w:t>
      </w:r>
      <w:r>
        <w:t>établissement, la reconnaissance du transfert du siège d</w:t>
      </w:r>
      <w:r w:rsidR="005775D7">
        <w:t>’</w:t>
      </w:r>
      <w:r>
        <w:t>une entrep</w:t>
      </w:r>
      <w:r w:rsidR="00C3598B">
        <w:t>rise vers un nouvel Etat membre s</w:t>
      </w:r>
      <w:r w:rsidR="005775D7">
        <w:t>’</w:t>
      </w:r>
      <w:r w:rsidR="00C3598B">
        <w:t>impose à l</w:t>
      </w:r>
      <w:r w:rsidR="005775D7">
        <w:t>’</w:t>
      </w:r>
      <w:r w:rsidR="00C3598B">
        <w:t>Etat d</w:t>
      </w:r>
      <w:r w:rsidR="005775D7">
        <w:t>’</w:t>
      </w:r>
      <w:r w:rsidR="00C3598B">
        <w:t xml:space="preserve">origine même </w:t>
      </w:r>
      <w:r w:rsidR="00F87545">
        <w:t>lorsque celle-ci</w:t>
      </w:r>
      <w:r>
        <w:t xml:space="preserve"> maintient son centre d</w:t>
      </w:r>
      <w:r w:rsidR="005775D7">
        <w:t>’</w:t>
      </w:r>
      <w:r>
        <w:t>activité et de direction sur le territoire national. La solution contraire, qui permettrait d</w:t>
      </w:r>
      <w:r w:rsidR="005775D7">
        <w:t>’</w:t>
      </w:r>
      <w:r>
        <w:t>opposer à la liberté de circulation l</w:t>
      </w:r>
      <w:r w:rsidR="005775D7">
        <w:t>’</w:t>
      </w:r>
      <w:r>
        <w:t>idée de fraude à la loi, reposerait sur un « jugement de valeur défavorable adressé au contenu de la législation luxembourgeoise ». Or, au sein d</w:t>
      </w:r>
      <w:r w:rsidR="005775D7">
        <w:t>’</w:t>
      </w:r>
      <w:r>
        <w:t>un marché intérieur structuré par l</w:t>
      </w:r>
      <w:r w:rsidR="005775D7">
        <w:t>’</w:t>
      </w:r>
      <w:r>
        <w:t>idée de reconnaissance, « un Etat ne peut pas juger la législation d</w:t>
      </w:r>
      <w:r w:rsidR="005775D7">
        <w:t>’</w:t>
      </w:r>
      <w:r>
        <w:t>un autre Etat “frère” comme étant illégitime »</w:t>
      </w:r>
      <w:r>
        <w:rPr>
          <w:rStyle w:val="Appelnotedebasdep"/>
        </w:rPr>
        <w:footnoteReference w:id="25"/>
      </w:r>
      <w:r w:rsidR="00C3598B">
        <w:t>.</w:t>
      </w:r>
    </w:p>
    <w:p w14:paraId="5898D398" w14:textId="61395ED4" w:rsidR="00CB5811" w:rsidRDefault="00C3598B" w:rsidP="006676FB">
      <w:r>
        <w:t>L</w:t>
      </w:r>
      <w:r w:rsidR="00933561">
        <w:t>e mécanisme</w:t>
      </w:r>
      <w:r>
        <w:t xml:space="preserve"> de la reconnaissance</w:t>
      </w:r>
      <w:r w:rsidR="00FA0794">
        <w:t xml:space="preserve">, </w:t>
      </w:r>
      <w:r w:rsidR="00F87545">
        <w:t xml:space="preserve">en </w:t>
      </w:r>
      <w:r w:rsidR="003B09A5">
        <w:t>introduisant une logique de concurrence normative</w:t>
      </w:r>
      <w:r w:rsidR="003B09A5">
        <w:rPr>
          <w:rStyle w:val="Appelnotedebasdep"/>
        </w:rPr>
        <w:footnoteReference w:id="26"/>
      </w:r>
      <w:r w:rsidR="003B09A5">
        <w:t xml:space="preserve"> et</w:t>
      </w:r>
      <w:r w:rsidR="00F87545">
        <w:t xml:space="preserve"> en</w:t>
      </w:r>
      <w:r w:rsidR="003B09A5">
        <w:t xml:space="preserve"> </w:t>
      </w:r>
      <w:r w:rsidR="00C70061">
        <w:t>accompagnant une « dynamique de</w:t>
      </w:r>
      <w:r w:rsidR="00FA0794">
        <w:t xml:space="preserve"> dérégulation</w:t>
      </w:r>
      <w:r w:rsidR="00C70061">
        <w:t> »</w:t>
      </w:r>
      <w:r w:rsidR="00C70061">
        <w:rPr>
          <w:rStyle w:val="Appelnotedebasdep"/>
        </w:rPr>
        <w:footnoteReference w:id="27"/>
      </w:r>
      <w:r w:rsidR="00C70061">
        <w:t>,</w:t>
      </w:r>
      <w:r w:rsidR="00581655" w:rsidRPr="00EE6C2B">
        <w:t xml:space="preserve"> rompt donc le lien entre </w:t>
      </w:r>
      <w:r w:rsidR="00F87545">
        <w:t xml:space="preserve">le </w:t>
      </w:r>
      <w:r w:rsidR="00581655" w:rsidRPr="00EE6C2B">
        <w:lastRenderedPageBreak/>
        <w:t xml:space="preserve">caractère obligatoire </w:t>
      </w:r>
      <w:r w:rsidR="00C70061">
        <w:t>du droit</w:t>
      </w:r>
      <w:r w:rsidR="00581655" w:rsidRPr="00EE6C2B">
        <w:t xml:space="preserve"> et </w:t>
      </w:r>
      <w:r w:rsidR="00F87545">
        <w:t xml:space="preserve">la </w:t>
      </w:r>
      <w:r w:rsidR="00581655" w:rsidRPr="00EE6C2B">
        <w:t>limite territoriale de la souveraineté de son auteur.</w:t>
      </w:r>
      <w:r w:rsidR="002E5F8F">
        <w:t xml:space="preserve"> </w:t>
      </w:r>
      <w:r w:rsidR="00F87545">
        <w:t>Ce </w:t>
      </w:r>
      <w:r>
        <w:t>phénomène est d</w:t>
      </w:r>
      <w:r w:rsidR="005775D7">
        <w:t>’</w:t>
      </w:r>
      <w:r>
        <w:t>autant plus marquant qu</w:t>
      </w:r>
      <w:r w:rsidR="005775D7">
        <w:t>’</w:t>
      </w:r>
      <w:r>
        <w:t xml:space="preserve">il </w:t>
      </w:r>
      <w:r w:rsidR="00933561">
        <w:t>dépasse le marché intérieur</w:t>
      </w:r>
      <w:r w:rsidR="00581655" w:rsidRPr="00EE6C2B">
        <w:t xml:space="preserve"> pour se développer </w:t>
      </w:r>
      <w:r w:rsidR="00F87545">
        <w:t xml:space="preserve">au sein </w:t>
      </w:r>
      <w:r w:rsidR="00FB4F74">
        <w:t>de l</w:t>
      </w:r>
      <w:r w:rsidR="005775D7">
        <w:t>’</w:t>
      </w:r>
      <w:r w:rsidR="00F87545">
        <w:t>ESJ et</w:t>
      </w:r>
      <w:r w:rsidR="00FB4F74">
        <w:t xml:space="preserve"> </w:t>
      </w:r>
      <w:r w:rsidR="00F87545">
        <w:t>en </w:t>
      </w:r>
      <w:r w:rsidR="00AA6A69">
        <w:t>particulier</w:t>
      </w:r>
      <w:r w:rsidR="00FB4F74">
        <w:t xml:space="preserve"> </w:t>
      </w:r>
      <w:r w:rsidR="00581655" w:rsidRPr="00EE6C2B">
        <w:t>dans le champ de la coopération judiciaire.</w:t>
      </w:r>
      <w:r w:rsidR="00BB5C50">
        <w:t xml:space="preserve"> </w:t>
      </w:r>
    </w:p>
    <w:p w14:paraId="30735C1F" w14:textId="2560C630" w:rsidR="00BB5C50" w:rsidRDefault="00DD7331" w:rsidP="006676FB">
      <w:r>
        <w:t>Ainsi, dans s</w:t>
      </w:r>
      <w:r w:rsidR="00BB5C50">
        <w:t>a communication relative aux décisions finales en matière pénale,</w:t>
      </w:r>
      <w:r>
        <w:t xml:space="preserve"> la Commission</w:t>
      </w:r>
      <w:r w:rsidR="00BB5C50">
        <w:t xml:space="preserve"> </w:t>
      </w:r>
      <w:r>
        <w:t xml:space="preserve">présente </w:t>
      </w:r>
      <w:r w:rsidR="00BB5C50">
        <w:t xml:space="preserve">la </w:t>
      </w:r>
      <w:r w:rsidR="00BB5C50" w:rsidRPr="00BB5C50">
        <w:t>reconnaissance mutuelle comme « un principe largement reconnu », « reposant sur l</w:t>
      </w:r>
      <w:r w:rsidR="005775D7">
        <w:t>’</w:t>
      </w:r>
      <w:r w:rsidR="00BB5C50" w:rsidRPr="00BB5C50">
        <w:t>idée que, même si un autre État peut ne pas traiter une affaire donnée de façon identique, voire analogue » les résultats obtenus en application de ses propres règles « sont considérés comme équivalant aux décisions » qui auraient été p</w:t>
      </w:r>
      <w:r w:rsidR="00AA6A69">
        <w:t>rises dans l</w:t>
      </w:r>
      <w:r w:rsidR="005775D7">
        <w:t>’</w:t>
      </w:r>
      <w:r w:rsidR="00AA6A69">
        <w:t>Etat d</w:t>
      </w:r>
      <w:r w:rsidR="005775D7">
        <w:t>’</w:t>
      </w:r>
      <w:r w:rsidR="00AA6A69">
        <w:t>accueil. En </w:t>
      </w:r>
      <w:r w:rsidR="00BB5C50" w:rsidRPr="00BB5C50">
        <w:t>conséquence, « [s]</w:t>
      </w:r>
      <w:proofErr w:type="spellStart"/>
      <w:r w:rsidR="00BB5C50" w:rsidRPr="00BB5C50">
        <w:t>ur</w:t>
      </w:r>
      <w:proofErr w:type="spellEnd"/>
      <w:r w:rsidR="00BB5C50" w:rsidRPr="00BB5C50">
        <w:t xml:space="preserve"> la base de cette notion d</w:t>
      </w:r>
      <w:r w:rsidR="005775D7">
        <w:t>’</w:t>
      </w:r>
      <w:r w:rsidR="00BB5C50" w:rsidRPr="00BB5C50">
        <w:t>équivalence et de la confiance sur laquelle elle repose, les résultats obtenus par [l</w:t>
      </w:r>
      <w:r w:rsidR="005775D7">
        <w:t>’</w:t>
      </w:r>
      <w:r w:rsidR="00BB5C50" w:rsidRPr="00BB5C50">
        <w:t>autorité d</w:t>
      </w:r>
      <w:r w:rsidR="005775D7">
        <w:t>’</w:t>
      </w:r>
      <w:r w:rsidR="00BB5C50" w:rsidRPr="00BB5C50">
        <w:t>un premier] État peuvent prendre effet dans la sphère d</w:t>
      </w:r>
      <w:r w:rsidR="005775D7">
        <w:t>’</w:t>
      </w:r>
      <w:r w:rsidR="00BB5C50" w:rsidRPr="00BB5C50">
        <w:t>influence juridique [d</w:t>
      </w:r>
      <w:r w:rsidR="005775D7">
        <w:t>’</w:t>
      </w:r>
      <w:r w:rsidR="00BB5C50" w:rsidRPr="00BB5C50">
        <w:t>un second] État [...] même si une autorité comparable n</w:t>
      </w:r>
      <w:r w:rsidR="005775D7">
        <w:t>’</w:t>
      </w:r>
      <w:r w:rsidR="00BB5C50" w:rsidRPr="00BB5C50">
        <w:t>existe pas dans cet État, ou ne peut pas prendre une telle décision, ou aurait pris une décision totalement différente dans un cas comparable »</w:t>
      </w:r>
      <w:r w:rsidR="00BB5C50" w:rsidRPr="00BB5C50">
        <w:rPr>
          <w:rStyle w:val="Appelnotedebasdep"/>
        </w:rPr>
        <w:footnoteReference w:id="28"/>
      </w:r>
      <w:r w:rsidR="00BB5C50" w:rsidRPr="00BB5C50">
        <w:t>.</w:t>
      </w:r>
      <w:r w:rsidR="00581655" w:rsidRPr="00BB5C50">
        <w:t xml:space="preserve"> </w:t>
      </w:r>
    </w:p>
    <w:p w14:paraId="346945E2" w14:textId="15A105A6" w:rsidR="00581655" w:rsidRDefault="00581655" w:rsidP="006676FB">
      <w:r>
        <w:t>L</w:t>
      </w:r>
      <w:r w:rsidR="005775D7">
        <w:t>’</w:t>
      </w:r>
      <w:r>
        <w:t xml:space="preserve">un des </w:t>
      </w:r>
      <w:r w:rsidRPr="0031542F">
        <w:t>exemple</w:t>
      </w:r>
      <w:r>
        <w:t>s</w:t>
      </w:r>
      <w:r w:rsidRPr="0031542F">
        <w:t xml:space="preserve"> </w:t>
      </w:r>
      <w:r w:rsidR="00EE6C2B">
        <w:t xml:space="preserve">le plus </w:t>
      </w:r>
      <w:r w:rsidRPr="0031542F">
        <w:t>signi</w:t>
      </w:r>
      <w:r>
        <w:t xml:space="preserve">ficatif de cette perméabilité </w:t>
      </w:r>
      <w:r w:rsidR="00933561">
        <w:t xml:space="preserve">vis-à-vis des </w:t>
      </w:r>
      <w:r w:rsidR="00EE6C2B">
        <w:t>actes</w:t>
      </w:r>
      <w:r>
        <w:t xml:space="preserve"> juridictionnels</w:t>
      </w:r>
      <w:r w:rsidR="006676FB">
        <w:t xml:space="preserve">, et indirectement </w:t>
      </w:r>
      <w:r w:rsidR="00933561">
        <w:t>de</w:t>
      </w:r>
      <w:r w:rsidR="006676FB">
        <w:t xml:space="preserve"> la légalité</w:t>
      </w:r>
      <w:r>
        <w:t xml:space="preserve"> </w:t>
      </w:r>
      <w:r w:rsidRPr="0031542F">
        <w:t>d</w:t>
      </w:r>
      <w:r w:rsidR="005775D7">
        <w:t>’</w:t>
      </w:r>
      <w:r w:rsidRPr="0031542F">
        <w:t>un autre Etat membre</w:t>
      </w:r>
      <w:r w:rsidR="00C3598B">
        <w:t>,</w:t>
      </w:r>
      <w:r>
        <w:t xml:space="preserve"> </w:t>
      </w:r>
      <w:r w:rsidRPr="006676FB">
        <w:t xml:space="preserve">vient du système du </w:t>
      </w:r>
      <w:r w:rsidR="00EE6C2B" w:rsidRPr="006676FB">
        <w:t>mandat d</w:t>
      </w:r>
      <w:r w:rsidR="005775D7">
        <w:t>’</w:t>
      </w:r>
      <w:r w:rsidR="00DD7331">
        <w:t xml:space="preserve">arrêt européen. Par exemple, </w:t>
      </w:r>
      <w:r w:rsidRPr="006676FB">
        <w:t xml:space="preserve">la suppression de la double incrimination </w:t>
      </w:r>
      <w:r w:rsidR="006676FB" w:rsidRPr="006676FB">
        <w:t>pour les trente-deux infractions énumérées par l</w:t>
      </w:r>
      <w:r w:rsidR="005775D7">
        <w:t>’</w:t>
      </w:r>
      <w:r w:rsidR="006676FB" w:rsidRPr="006676FB">
        <w:t xml:space="preserve">article 2, §2 </w:t>
      </w:r>
      <w:r w:rsidRPr="006676FB">
        <w:t>impose de considérer</w:t>
      </w:r>
      <w:r w:rsidR="00DD7331" w:rsidRPr="006676FB">
        <w:t>, conformément au principe de reconnaissance mutuelle expressément rappelé à l</w:t>
      </w:r>
      <w:r w:rsidR="00DD7331">
        <w:t>’</w:t>
      </w:r>
      <w:r w:rsidR="00DD7331" w:rsidRPr="006676FB">
        <w:t>article 1, §2 de la décision-cadre du 13 juin 2002</w:t>
      </w:r>
      <w:r w:rsidR="00DD7331" w:rsidRPr="006676FB">
        <w:rPr>
          <w:rStyle w:val="Appelnotedebasdep"/>
        </w:rPr>
        <w:footnoteReference w:id="29"/>
      </w:r>
      <w:r w:rsidR="00DD7331" w:rsidRPr="006676FB">
        <w:t>,</w:t>
      </w:r>
      <w:r w:rsidRPr="006676FB">
        <w:t xml:space="preserve"> que le principe de légalité des délits et des peines est satisfait</w:t>
      </w:r>
      <w:r w:rsidR="006676FB">
        <w:t>,</w:t>
      </w:r>
      <w:r w:rsidRPr="006676FB">
        <w:t xml:space="preserve"> même </w:t>
      </w:r>
      <w:r w:rsidR="006676FB" w:rsidRPr="006676FB">
        <w:t>lorsque l</w:t>
      </w:r>
      <w:r w:rsidR="005775D7">
        <w:t>’</w:t>
      </w:r>
      <w:r w:rsidR="006676FB" w:rsidRPr="006676FB">
        <w:t>Etat saisi d</w:t>
      </w:r>
      <w:r w:rsidR="005775D7">
        <w:t>’</w:t>
      </w:r>
      <w:r w:rsidR="006676FB" w:rsidRPr="006676FB">
        <w:t>une demande de remise d</w:t>
      </w:r>
      <w:r w:rsidR="005775D7">
        <w:t>’</w:t>
      </w:r>
      <w:r w:rsidR="006676FB" w:rsidRPr="006676FB">
        <w:t>une personne recherché</w:t>
      </w:r>
      <w:r w:rsidR="006676FB">
        <w:t xml:space="preserve">e </w:t>
      </w:r>
      <w:r>
        <w:t xml:space="preserve">ne reconnaît pas dans sa propre législation </w:t>
      </w:r>
      <w:r w:rsidR="006676FB">
        <w:t>les infractions en cause</w:t>
      </w:r>
      <w:r w:rsidR="00B15EB0">
        <w:rPr>
          <w:rStyle w:val="Appelnotedebasdep"/>
        </w:rPr>
        <w:footnoteReference w:id="30"/>
      </w:r>
      <w:r w:rsidR="006676FB">
        <w:t>.</w:t>
      </w:r>
      <w:r w:rsidR="009E5C91">
        <w:t xml:space="preserve"> Comme l</w:t>
      </w:r>
      <w:r w:rsidR="005775D7">
        <w:t>’</w:t>
      </w:r>
      <w:r w:rsidR="009E5C91">
        <w:t>observa la Cour, le système mis en place est conforme au principe de légalité des délits et des peines dans la mesure où « </w:t>
      </w:r>
      <w:r w:rsidR="009E5C91" w:rsidRPr="00AA6A69">
        <w:t>si l</w:t>
      </w:r>
      <w:r w:rsidR="005775D7">
        <w:t>’</w:t>
      </w:r>
      <w:r w:rsidR="009E5C91" w:rsidRPr="00AA6A69">
        <w:t>article 2, paragraphe 2, de la décision-cadre supprime le contrôle de la double incrimination pour les catégories d</w:t>
      </w:r>
      <w:r w:rsidR="005775D7">
        <w:t>’</w:t>
      </w:r>
      <w:r w:rsidR="009E5C91" w:rsidRPr="00AA6A69">
        <w:t>infractions mentionnées à cette disposition, la définition de celles-ci et des peines applicables continue de relever de la compétence du droit de l</w:t>
      </w:r>
      <w:r w:rsidR="005775D7">
        <w:t>’</w:t>
      </w:r>
      <w:r w:rsidR="009E5C91" w:rsidRPr="00AA6A69">
        <w:t>État membre d</w:t>
      </w:r>
      <w:r w:rsidR="005775D7">
        <w:t>’</w:t>
      </w:r>
      <w:r w:rsidR="009E5C91" w:rsidRPr="00AA6A69">
        <w:t>émission</w:t>
      </w:r>
      <w:r w:rsidR="009E5C91">
        <w:t> »</w:t>
      </w:r>
      <w:r w:rsidR="009E5C91">
        <w:rPr>
          <w:rStyle w:val="Appelnotedebasdep"/>
        </w:rPr>
        <w:footnoteReference w:id="31"/>
      </w:r>
      <w:r w:rsidR="009E5C91">
        <w:t>. En clair, c</w:t>
      </w:r>
      <w:r w:rsidR="005775D7">
        <w:t>’</w:t>
      </w:r>
      <w:r w:rsidR="009E5C91">
        <w:t>est du respect dans l</w:t>
      </w:r>
      <w:r w:rsidR="005775D7">
        <w:t>’</w:t>
      </w:r>
      <w:r w:rsidR="009E5C91">
        <w:t>Etat d</w:t>
      </w:r>
      <w:r w:rsidR="005775D7">
        <w:t>’</w:t>
      </w:r>
      <w:r w:rsidR="009E5C91">
        <w:t>émission du principe de légalité que se déduit le respect de cette exigence au regard du droit de l</w:t>
      </w:r>
      <w:r w:rsidR="005775D7">
        <w:t>’</w:t>
      </w:r>
      <w:r w:rsidR="009E5C91">
        <w:t>Union et de l</w:t>
      </w:r>
      <w:r w:rsidR="005775D7">
        <w:t>’</w:t>
      </w:r>
      <w:r w:rsidR="009E5C91">
        <w:t>ordre juridique de l</w:t>
      </w:r>
      <w:r w:rsidR="005775D7">
        <w:t>’</w:t>
      </w:r>
      <w:r w:rsidR="00DD7331">
        <w:t xml:space="preserve">Etat requis. C’est </w:t>
      </w:r>
      <w:r w:rsidR="00DD7331">
        <w:lastRenderedPageBreak/>
        <w:t xml:space="preserve">ce postulat qui implique que l’Etat doive dès lors, </w:t>
      </w:r>
      <w:r w:rsidR="009E5C91">
        <w:t>conformément au principe de la confiance mutuelle, mettre à exécution le mandat d</w:t>
      </w:r>
      <w:r w:rsidR="005775D7">
        <w:t>’</w:t>
      </w:r>
      <w:r w:rsidR="009E5C91">
        <w:t>arrêt.</w:t>
      </w:r>
    </w:p>
    <w:p w14:paraId="1157E1AA" w14:textId="22257A6F" w:rsidR="004D0279" w:rsidRPr="0031542F" w:rsidRDefault="004D0279" w:rsidP="00C05C14">
      <w:r>
        <w:t>Reconnaître une décision de justice étrangère peut donc impliquer de lui reconnaître les conséquences qui lui sont attribués par le droit pénal de l</w:t>
      </w:r>
      <w:r w:rsidR="005775D7">
        <w:t>’</w:t>
      </w:r>
      <w:r>
        <w:t>État dans lequel elle a été prise</w:t>
      </w:r>
      <w:r w:rsidR="00AA6A69">
        <w:t xml:space="preserve">, même lorsque les solutions ainsi acquises ne sont pas conformes </w:t>
      </w:r>
      <w:r w:rsidR="00C05C14">
        <w:t>à cell</w:t>
      </w:r>
      <w:r w:rsidR="00AA6A69">
        <w:t xml:space="preserve">es prévues par le droit </w:t>
      </w:r>
      <w:r w:rsidR="00C05C14">
        <w:t>interne</w:t>
      </w:r>
      <w:r>
        <w:rPr>
          <w:rStyle w:val="Appelnotedebasdep"/>
        </w:rPr>
        <w:footnoteReference w:id="32"/>
      </w:r>
      <w:r w:rsidR="00AC2101">
        <w:t>. Mais la r</w:t>
      </w:r>
      <w:r>
        <w:t>econnaissance mutuelle peut encore signifier que l</w:t>
      </w:r>
      <w:r w:rsidR="005775D7">
        <w:t>’</w:t>
      </w:r>
      <w:r w:rsidR="00AC2101">
        <w:t xml:space="preserve">Etat saisi </w:t>
      </w:r>
      <w:r w:rsidR="00DD7331">
        <w:t>est tenu de</w:t>
      </w:r>
      <w:r w:rsidR="00AC2101">
        <w:t xml:space="preserve"> tenir compte d</w:t>
      </w:r>
      <w:r w:rsidR="005775D7">
        <w:t>’</w:t>
      </w:r>
      <w:r w:rsidR="00AC2101">
        <w:t>une</w:t>
      </w:r>
      <w:r>
        <w:t xml:space="preserve"> décision</w:t>
      </w:r>
      <w:r w:rsidR="00C05C14">
        <w:t xml:space="preserve"> émise par un autre Etat membre</w:t>
      </w:r>
      <w:r>
        <w:t xml:space="preserve"> pour lui associer les effets prévus </w:t>
      </w:r>
      <w:r w:rsidRPr="00C05C14">
        <w:t>par son propre droit</w:t>
      </w:r>
      <w:r w:rsidR="00C05C14" w:rsidRPr="00C05C14">
        <w:t>.</w:t>
      </w:r>
      <w:r w:rsidR="00C05C14">
        <w:t xml:space="preserve"> C</w:t>
      </w:r>
      <w:r w:rsidR="005775D7">
        <w:t>’</w:t>
      </w:r>
      <w:r w:rsidR="00C05C14">
        <w:t>est le cas par exemple dans</w:t>
      </w:r>
      <w:r>
        <w:t xml:space="preserve"> le cadre du principe </w:t>
      </w:r>
      <w:r>
        <w:rPr>
          <w:i/>
        </w:rPr>
        <w:t xml:space="preserve">ne bis in idem </w:t>
      </w:r>
      <w:r w:rsidR="00C05C14">
        <w:t>qui peut empêcher la poursuite d</w:t>
      </w:r>
      <w:r w:rsidR="005775D7">
        <w:t>’</w:t>
      </w:r>
      <w:r w:rsidR="00C05C14">
        <w:t>infraction déjà sanctionnées dans un autre Etat</w:t>
      </w:r>
      <w:r w:rsidR="00C05C14">
        <w:rPr>
          <w:rStyle w:val="Appelnotedebasdep"/>
        </w:rPr>
        <w:footnoteReference w:id="33"/>
      </w:r>
      <w:r w:rsidR="00C05C14">
        <w:t xml:space="preserve">. </w:t>
      </w:r>
    </w:p>
    <w:p w14:paraId="475A511D" w14:textId="7A90409F" w:rsidR="00933561" w:rsidRDefault="00A918CB" w:rsidP="006676FB">
      <w:r>
        <w:t>Au-delà d</w:t>
      </w:r>
      <w:r w:rsidR="00DD7331">
        <w:t>es actes juridictionnels</w:t>
      </w:r>
      <w:r w:rsidR="004070E6">
        <w:t>, l</w:t>
      </w:r>
      <w:r w:rsidR="006676FB">
        <w:t xml:space="preserve">a reconnaissance mutuelle déploie </w:t>
      </w:r>
      <w:r w:rsidR="00933561">
        <w:t>également</w:t>
      </w:r>
      <w:r w:rsidR="006676FB">
        <w:t xml:space="preserve"> ses effets</w:t>
      </w:r>
      <w:r w:rsidR="004070E6">
        <w:t xml:space="preserve"> « automatiques »</w:t>
      </w:r>
      <w:r w:rsidR="006676FB">
        <w:t xml:space="preserve"> au bénéfice d</w:t>
      </w:r>
      <w:r w:rsidR="005775D7">
        <w:t>’</w:t>
      </w:r>
      <w:r w:rsidR="00581655" w:rsidRPr="006676FB">
        <w:t>actes administratifs</w:t>
      </w:r>
      <w:r w:rsidR="004070E6">
        <w:t>,</w:t>
      </w:r>
      <w:r w:rsidR="00581655" w:rsidRPr="006676FB">
        <w:t xml:space="preserve"> qui voient </w:t>
      </w:r>
      <w:r w:rsidR="006676FB">
        <w:t xml:space="preserve">ainsi </w:t>
      </w:r>
      <w:r w:rsidR="00581655" w:rsidRPr="006676FB">
        <w:t>leur portée territoriale étendue.</w:t>
      </w:r>
      <w:r w:rsidR="006676FB">
        <w:t xml:space="preserve"> En ce sens, il est</w:t>
      </w:r>
      <w:r w:rsidR="007154DB">
        <w:t xml:space="preserve"> </w:t>
      </w:r>
      <w:r w:rsidR="006676FB">
        <w:t>possible d</w:t>
      </w:r>
      <w:r w:rsidR="005775D7">
        <w:t>’</w:t>
      </w:r>
      <w:r w:rsidR="006676FB">
        <w:t xml:space="preserve">identifier </w:t>
      </w:r>
      <w:r w:rsidR="00581655" w:rsidRPr="0031542F">
        <w:t xml:space="preserve">un </w:t>
      </w:r>
      <w:r w:rsidR="007D346F">
        <w:t>«</w:t>
      </w:r>
      <w:r w:rsidR="007D346F" w:rsidRPr="007D346F">
        <w:t> </w:t>
      </w:r>
      <w:r w:rsidR="00581655" w:rsidRPr="007D346F">
        <w:t>mécanisme</w:t>
      </w:r>
      <w:r w:rsidR="007D346F" w:rsidRPr="007D346F">
        <w:t xml:space="preserve"> négatif</w:t>
      </w:r>
      <w:r w:rsidR="00562306">
        <w:t> </w:t>
      </w:r>
      <w:r w:rsidR="00562306" w:rsidRPr="007D346F">
        <w:t>»</w:t>
      </w:r>
      <w:r w:rsidR="00581655" w:rsidRPr="007D346F">
        <w:t xml:space="preserve"> de reconnaissance </w:t>
      </w:r>
      <w:r w:rsidR="007154DB" w:rsidRPr="007D346F">
        <w:t>mutuelle</w:t>
      </w:r>
      <w:r w:rsidR="007154DB">
        <w:rPr>
          <w:b/>
        </w:rPr>
        <w:t xml:space="preserve"> </w:t>
      </w:r>
      <w:r w:rsidR="007154DB">
        <w:t xml:space="preserve">en </w:t>
      </w:r>
      <w:r w:rsidR="007154DB" w:rsidRPr="007D346F">
        <w:t>matière d</w:t>
      </w:r>
      <w:r w:rsidR="005775D7">
        <w:t>’</w:t>
      </w:r>
      <w:r w:rsidR="007154DB" w:rsidRPr="007D346F">
        <w:t xml:space="preserve">asile. Dans </w:t>
      </w:r>
      <w:r w:rsidR="006676FB" w:rsidRPr="007D346F">
        <w:t>le</w:t>
      </w:r>
      <w:r w:rsidR="007154DB" w:rsidRPr="007D346F">
        <w:t xml:space="preserve"> cadre</w:t>
      </w:r>
      <w:r w:rsidR="007154DB">
        <w:t xml:space="preserve"> </w:t>
      </w:r>
      <w:r w:rsidR="002F51B2">
        <w:t>du</w:t>
      </w:r>
      <w:r w:rsidR="006676FB">
        <w:t xml:space="preserve"> « système Dublin », </w:t>
      </w:r>
      <w:r w:rsidR="007154DB">
        <w:t>l</w:t>
      </w:r>
      <w:r w:rsidR="00581655" w:rsidRPr="004070E6">
        <w:t>es E</w:t>
      </w:r>
      <w:r w:rsidR="004070E6">
        <w:t>tats membres</w:t>
      </w:r>
      <w:r w:rsidR="00581655" w:rsidRPr="004070E6">
        <w:t xml:space="preserve"> peuvent </w:t>
      </w:r>
      <w:r w:rsidR="007154DB">
        <w:t>en effet considérer comme infondée</w:t>
      </w:r>
      <w:r w:rsidR="00581655" w:rsidRPr="004070E6">
        <w:t xml:space="preserve"> une demande d</w:t>
      </w:r>
      <w:r w:rsidR="005775D7">
        <w:t>’</w:t>
      </w:r>
      <w:r w:rsidR="00581655" w:rsidRPr="004070E6">
        <w:t xml:space="preserve">asile </w:t>
      </w:r>
      <w:r w:rsidR="007154DB">
        <w:t>formée par un individu à l</w:t>
      </w:r>
      <w:r w:rsidR="005775D7">
        <w:t>’</w:t>
      </w:r>
      <w:r w:rsidR="007154DB">
        <w:t>égard duquel les autorités d</w:t>
      </w:r>
      <w:r w:rsidR="005775D7">
        <w:t>’</w:t>
      </w:r>
      <w:r w:rsidR="007154DB">
        <w:t>un autre Etat membre ont précédemment établi qu</w:t>
      </w:r>
      <w:r w:rsidR="005775D7">
        <w:t>’</w:t>
      </w:r>
      <w:r w:rsidR="007154DB">
        <w:t>il ne remplissait pas les conditions d</w:t>
      </w:r>
      <w:r w:rsidR="005775D7">
        <w:t>’</w:t>
      </w:r>
      <w:r w:rsidR="007154DB">
        <w:t>obtention d</w:t>
      </w:r>
      <w:r w:rsidR="005775D7">
        <w:t>’</w:t>
      </w:r>
      <w:r w:rsidR="007154DB">
        <w:t>une protection internationale</w:t>
      </w:r>
      <w:r w:rsidR="007154DB">
        <w:rPr>
          <w:rStyle w:val="Appelnotedebasdep"/>
        </w:rPr>
        <w:footnoteReference w:id="34"/>
      </w:r>
      <w:r w:rsidR="007154DB">
        <w:t>.</w:t>
      </w:r>
      <w:r w:rsidR="00AC2101">
        <w:t xml:space="preserve"> Le même souci de lutter cont</w:t>
      </w:r>
      <w:r w:rsidR="004D0279">
        <w:t xml:space="preserve">re le </w:t>
      </w:r>
      <w:r w:rsidR="004D0279">
        <w:rPr>
          <w:i/>
        </w:rPr>
        <w:t>forum shopping</w:t>
      </w:r>
      <w:r w:rsidR="002F51B2">
        <w:t xml:space="preserve"> prévaut </w:t>
      </w:r>
      <w:r w:rsidR="00933561">
        <w:t xml:space="preserve">encore </w:t>
      </w:r>
      <w:r w:rsidR="002F51B2">
        <w:t>en matière de demande de Visa Schengen</w:t>
      </w:r>
      <w:r w:rsidR="004D0279">
        <w:t>. En</w:t>
      </w:r>
      <w:r w:rsidR="00AC2101">
        <w:t> </w:t>
      </w:r>
      <w:r w:rsidR="002F51B2">
        <w:t>vertu des dispositions du Code frontière</w:t>
      </w:r>
      <w:r w:rsidR="00BB4FF2">
        <w:t>s</w:t>
      </w:r>
      <w:r w:rsidR="002F51B2">
        <w:t xml:space="preserve"> Schengen</w:t>
      </w:r>
      <w:r w:rsidR="00BB4FF2">
        <w:rPr>
          <w:rStyle w:val="Appelnotedebasdep"/>
        </w:rPr>
        <w:footnoteReference w:id="35"/>
      </w:r>
      <w:r w:rsidR="002F51B2">
        <w:t xml:space="preserve"> et du Code communautaire des visas</w:t>
      </w:r>
      <w:r w:rsidR="00F54D8C">
        <w:rPr>
          <w:rStyle w:val="Appelnotedebasdep"/>
        </w:rPr>
        <w:footnoteReference w:id="36"/>
      </w:r>
      <w:r w:rsidR="002F51B2">
        <w:t>, un Etat peut refuser</w:t>
      </w:r>
      <w:r w:rsidR="00F54D8C">
        <w:t xml:space="preserve"> à une personne</w:t>
      </w:r>
      <w:r w:rsidR="002F51B2">
        <w:t xml:space="preserve"> l</w:t>
      </w:r>
      <w:r w:rsidR="005775D7">
        <w:t>’</w:t>
      </w:r>
      <w:r w:rsidR="002F51B2">
        <w:t>entrée sur le territoire Schengen et la délivrance d</w:t>
      </w:r>
      <w:r w:rsidR="005775D7">
        <w:t>’</w:t>
      </w:r>
      <w:r w:rsidR="002F51B2">
        <w:t>un visa en se référant à la décision d</w:t>
      </w:r>
      <w:r w:rsidR="005775D7">
        <w:t>’</w:t>
      </w:r>
      <w:r w:rsidR="002F51B2">
        <w:t>inscription au SIS ou aux appréciations effectuées par un autre Etat membre</w:t>
      </w:r>
      <w:r w:rsidR="00F54D8C">
        <w:t xml:space="preserve"> quant à la menace qu</w:t>
      </w:r>
      <w:r>
        <w:t xml:space="preserve">e celle-ci </w:t>
      </w:r>
      <w:r w:rsidR="00F54D8C">
        <w:t>représente pour l</w:t>
      </w:r>
      <w:r w:rsidR="005775D7">
        <w:t>’</w:t>
      </w:r>
      <w:r w:rsidR="00F54D8C">
        <w:t>ordre public, la sécurité intérieur, la santé publique ou</w:t>
      </w:r>
      <w:r w:rsidR="005775D7">
        <w:t xml:space="preserve"> </w:t>
      </w:r>
      <w:r w:rsidR="00F54D8C">
        <w:t xml:space="preserve">les relations internationales. </w:t>
      </w:r>
    </w:p>
    <w:p w14:paraId="45054A8C" w14:textId="10A0BDAB" w:rsidR="00581655" w:rsidRPr="0031542F" w:rsidRDefault="00933561" w:rsidP="006676FB">
      <w:r>
        <w:t>La logique de la reconnaissance mutuelle n</w:t>
      </w:r>
      <w:r w:rsidR="005775D7">
        <w:t>’</w:t>
      </w:r>
      <w:r>
        <w:t xml:space="preserve">est cependant pas </w:t>
      </w:r>
      <w:r w:rsidR="00A30265">
        <w:t xml:space="preserve">de subordonner de manière systématique </w:t>
      </w:r>
      <w:r w:rsidR="00AA1736">
        <w:t>et unilatérale une</w:t>
      </w:r>
      <w:r w:rsidR="00A30265">
        <w:t xml:space="preserve"> situation juridique </w:t>
      </w:r>
      <w:r w:rsidR="00AA1736">
        <w:t xml:space="preserve">à </w:t>
      </w:r>
      <w:r w:rsidR="00BB5C50">
        <w:t>l</w:t>
      </w:r>
      <w:r w:rsidR="005775D7">
        <w:t>’</w:t>
      </w:r>
      <w:r w:rsidR="00BB5C50">
        <w:t>empire</w:t>
      </w:r>
      <w:r w:rsidR="00AA1736">
        <w:t xml:space="preserve"> d</w:t>
      </w:r>
      <w:r w:rsidR="005775D7">
        <w:t>’</w:t>
      </w:r>
      <w:r w:rsidR="00AA1736">
        <w:t>un premier Etat</w:t>
      </w:r>
      <w:r w:rsidR="00BB5C50">
        <w:t xml:space="preserve">, </w:t>
      </w:r>
      <w:r w:rsidR="00A918CB">
        <w:t xml:space="preserve">en </w:t>
      </w:r>
      <w:r w:rsidR="00AA1736">
        <w:t>grevant de manière définitive le pouvoir décisionnel d</w:t>
      </w:r>
      <w:r w:rsidR="005775D7">
        <w:t>’</w:t>
      </w:r>
      <w:r w:rsidR="00AA1736">
        <w:t>un second</w:t>
      </w:r>
      <w:r w:rsidR="00FD7ADC">
        <w:t>. Tout d</w:t>
      </w:r>
      <w:r w:rsidR="005775D7">
        <w:t>’</w:t>
      </w:r>
      <w:r w:rsidR="00FD7ADC">
        <w:t xml:space="preserve">abord, en cas de refus initial, </w:t>
      </w:r>
      <w:r w:rsidR="00FD7ADC">
        <w:lastRenderedPageBreak/>
        <w:t xml:space="preserve">celui-ci </w:t>
      </w:r>
      <w:r w:rsidR="00AA1736">
        <w:t>conserve la possibilité d</w:t>
      </w:r>
      <w:r w:rsidR="005775D7">
        <w:t>’</w:t>
      </w:r>
      <w:r w:rsidR="00FD7ADC">
        <w:t xml:space="preserve">accorder un visa </w:t>
      </w:r>
      <w:r w:rsidR="00AA1736">
        <w:t xml:space="preserve">dont la validité territoriale sera cependant limitée </w:t>
      </w:r>
      <w:r w:rsidR="00FD7ADC">
        <w:t>afin de respecter</w:t>
      </w:r>
      <w:r w:rsidR="00AA1736">
        <w:t xml:space="preserve"> la décision préalablement adoptée</w:t>
      </w:r>
      <w:r w:rsidR="00FD7ADC">
        <w:rPr>
          <w:rStyle w:val="Appelnotedebasdep"/>
        </w:rPr>
        <w:footnoteReference w:id="37"/>
      </w:r>
      <w:r w:rsidR="00FD7ADC">
        <w:t xml:space="preserve">. En outre, il est prévu </w:t>
      </w:r>
      <w:r w:rsidR="00A918CB">
        <w:t xml:space="preserve">vis-à-vis de certaines catégories de ressortissants </w:t>
      </w:r>
      <w:r w:rsidR="00BB5C50">
        <w:t>que</w:t>
      </w:r>
      <w:r w:rsidR="00424967">
        <w:t xml:space="preserve"> </w:t>
      </w:r>
      <w:r w:rsidR="00BB5C50">
        <w:t>les autorités centrales des autre</w:t>
      </w:r>
      <w:r w:rsidR="00BF5D0D">
        <w:t xml:space="preserve">s Etats membres peuvent exiger </w:t>
      </w:r>
      <w:r w:rsidR="00BB5C50">
        <w:t xml:space="preserve">être consultées </w:t>
      </w:r>
      <w:r w:rsidR="00A918CB">
        <w:t xml:space="preserve">avant que l’Etat saisi de la demande n’y réponde, </w:t>
      </w:r>
      <w:r w:rsidR="00BF5D0D">
        <w:t>ce qui permet</w:t>
      </w:r>
      <w:r w:rsidR="00A918CB">
        <w:t xml:space="preserve"> d’éviter q</w:t>
      </w:r>
      <w:r w:rsidR="00BB5C50">
        <w:t>u</w:t>
      </w:r>
      <w:r w:rsidR="005775D7">
        <w:t>’</w:t>
      </w:r>
      <w:r w:rsidR="00BB5C50">
        <w:t xml:space="preserve">un visa « Schengen » </w:t>
      </w:r>
      <w:r w:rsidR="00A918CB">
        <w:t xml:space="preserve">ne soit </w:t>
      </w:r>
      <w:r w:rsidR="00BB5C50">
        <w:t xml:space="preserve">délivré sans </w:t>
      </w:r>
      <w:r w:rsidR="00A918CB">
        <w:t xml:space="preserve">qu’elles aient eu la </w:t>
      </w:r>
      <w:r w:rsidR="00BB5C50">
        <w:t xml:space="preserve">possibilité </w:t>
      </w:r>
      <w:r w:rsidR="00A918CB">
        <w:t>de s’y opposer</w:t>
      </w:r>
      <w:r w:rsidR="00FD7ADC">
        <w:rPr>
          <w:rStyle w:val="Appelnotedebasdep"/>
        </w:rPr>
        <w:footnoteReference w:id="38"/>
      </w:r>
      <w:r w:rsidR="00FD7ADC">
        <w:t>.</w:t>
      </w:r>
      <w:r w:rsidR="00CD3BAE">
        <w:t xml:space="preserve"> </w:t>
      </w:r>
      <w:r w:rsidR="00BF5D0D">
        <w:t>Par ailleurs, l</w:t>
      </w:r>
      <w:r w:rsidR="003B66FA">
        <w:t>e procédé de</w:t>
      </w:r>
      <w:r w:rsidR="00BF5D0D">
        <w:t xml:space="preserve"> la</w:t>
      </w:r>
      <w:r w:rsidR="003B66FA">
        <w:t xml:space="preserve"> consultation </w:t>
      </w:r>
      <w:r w:rsidR="005E3860">
        <w:t>revêt</w:t>
      </w:r>
      <w:r w:rsidR="003B66FA">
        <w:t xml:space="preserve"> </w:t>
      </w:r>
      <w:r w:rsidR="005E3860">
        <w:t xml:space="preserve">une portée </w:t>
      </w:r>
      <w:r w:rsidR="00BF5D0D">
        <w:t xml:space="preserve">encore </w:t>
      </w:r>
      <w:r w:rsidR="005E3860">
        <w:t xml:space="preserve">plus importante </w:t>
      </w:r>
      <w:r w:rsidR="00BF5D0D">
        <w:t xml:space="preserve">dans l’hypothèse où </w:t>
      </w:r>
      <w:r w:rsidR="005E3860">
        <w:t>entre</w:t>
      </w:r>
      <w:r w:rsidR="00CA2B26">
        <w:t>nt</w:t>
      </w:r>
      <w:r w:rsidR="005E3860">
        <w:t xml:space="preserve"> en opposition la </w:t>
      </w:r>
      <w:r w:rsidR="00BF5D0D">
        <w:t xml:space="preserve">décision prise par un premier Etat de délivrer </w:t>
      </w:r>
      <w:r w:rsidR="005E3860">
        <w:t>un titre de séjour et l</w:t>
      </w:r>
      <w:r w:rsidR="005775D7">
        <w:t>’</w:t>
      </w:r>
      <w:r w:rsidR="005E3860">
        <w:t>adoption par un second d</w:t>
      </w:r>
      <w:r w:rsidR="005775D7">
        <w:t>’</w:t>
      </w:r>
      <w:r w:rsidR="005E3860">
        <w:t>un signalement aux fins de non-admission</w:t>
      </w:r>
      <w:r w:rsidR="005E3860">
        <w:rPr>
          <w:rStyle w:val="Appelnotedebasdep"/>
        </w:rPr>
        <w:footnoteReference w:id="39"/>
      </w:r>
      <w:r w:rsidR="00CA2B26">
        <w:t>.</w:t>
      </w:r>
    </w:p>
    <w:p w14:paraId="6CC0B756" w14:textId="57BB85BD" w:rsidR="00581655" w:rsidRPr="00CD3BAE" w:rsidRDefault="004F41D8" w:rsidP="00581655">
      <w:r w:rsidRPr="00CD3BAE">
        <w:t xml:space="preserve">En deuxième lieu, </w:t>
      </w:r>
      <w:r w:rsidR="00204DC7" w:rsidRPr="00CD3BAE">
        <w:t>l</w:t>
      </w:r>
      <w:r w:rsidR="005775D7">
        <w:t>’</w:t>
      </w:r>
      <w:r w:rsidR="00204DC7" w:rsidRPr="00CD3BAE">
        <w:t>exception induite</w:t>
      </w:r>
      <w:r w:rsidR="00D71C69">
        <w:t xml:space="preserve"> </w:t>
      </w:r>
      <w:r w:rsidR="00204DC7" w:rsidRPr="00CD3BAE">
        <w:t>par l</w:t>
      </w:r>
      <w:r w:rsidR="00581655" w:rsidRPr="00CD3BAE">
        <w:t xml:space="preserve">a </w:t>
      </w:r>
      <w:r w:rsidRPr="00CD3BAE">
        <w:t>reconnaissance mutuelle</w:t>
      </w:r>
      <w:r w:rsidR="00581655" w:rsidRPr="00CD3BAE">
        <w:t xml:space="preserve"> revêt une </w:t>
      </w:r>
      <w:r w:rsidR="00D71C69">
        <w:t>seconde forme de perturbation</w:t>
      </w:r>
      <w:r w:rsidRPr="00CD3BAE">
        <w:t xml:space="preserve"> dans le rapport </w:t>
      </w:r>
      <w:r w:rsidR="00204DC7" w:rsidRPr="00CD3BAE">
        <w:t>entre la légalité et le</w:t>
      </w:r>
      <w:r w:rsidRPr="00CD3BAE">
        <w:t xml:space="preserve"> territoire – et </w:t>
      </w:r>
      <w:r w:rsidRPr="00CD3BAE">
        <w:rPr>
          <w:i/>
        </w:rPr>
        <w:t xml:space="preserve">in fine </w:t>
      </w:r>
      <w:r w:rsidRPr="00CD3BAE">
        <w:t>à</w:t>
      </w:r>
      <w:r w:rsidR="00020228" w:rsidRPr="00CD3BAE">
        <w:t xml:space="preserve"> l</w:t>
      </w:r>
      <w:r w:rsidR="005775D7">
        <w:t>’</w:t>
      </w:r>
      <w:r w:rsidR="00020228" w:rsidRPr="00CD3BAE">
        <w:t>égard du concept de</w:t>
      </w:r>
      <w:r w:rsidRPr="00CD3BAE">
        <w:t xml:space="preserve"> souveraineté</w:t>
      </w:r>
      <w:r w:rsidR="00020228" w:rsidRPr="00CD3BAE">
        <w:t> : d</w:t>
      </w:r>
      <w:r w:rsidR="00581655" w:rsidRPr="00CD3BAE">
        <w:t>ans</w:t>
      </w:r>
      <w:r w:rsidR="00020228" w:rsidRPr="00CD3BAE">
        <w:t> un certain nombre d</w:t>
      </w:r>
      <w:r w:rsidR="005775D7">
        <w:t>’</w:t>
      </w:r>
      <w:r w:rsidR="00020228" w:rsidRPr="00CD3BAE">
        <w:t xml:space="preserve">hypothèses, </w:t>
      </w:r>
      <w:r w:rsidR="00CD3BAE" w:rsidRPr="00CD3BAE">
        <w:t xml:space="preserve">un contrôle juridictionnel peut être mis en œuvre </w:t>
      </w:r>
      <w:r w:rsidR="00581655" w:rsidRPr="00CD3BAE">
        <w:t>au sein de l</w:t>
      </w:r>
      <w:r w:rsidR="005775D7">
        <w:t>’</w:t>
      </w:r>
      <w:r w:rsidR="00581655" w:rsidRPr="00CD3BAE">
        <w:t>Etat d</w:t>
      </w:r>
      <w:r w:rsidR="005775D7">
        <w:t>’</w:t>
      </w:r>
      <w:r w:rsidR="00581655" w:rsidRPr="00CD3BAE">
        <w:t xml:space="preserve">accueil </w:t>
      </w:r>
      <w:r w:rsidR="00CD3BAE" w:rsidRPr="00CD3BAE">
        <w:t>afin de vérifier la validité de</w:t>
      </w:r>
      <w:r w:rsidR="00581655" w:rsidRPr="00CD3BAE">
        <w:t xml:space="preserve"> </w:t>
      </w:r>
      <w:r w:rsidR="00020228" w:rsidRPr="00CD3BAE">
        <w:t>la</w:t>
      </w:r>
      <w:r w:rsidR="00581655" w:rsidRPr="00CD3BAE">
        <w:t xml:space="preserve"> décision prise dans l</w:t>
      </w:r>
      <w:r w:rsidR="005775D7">
        <w:t>’</w:t>
      </w:r>
      <w:r w:rsidR="00581655" w:rsidRPr="00CD3BAE">
        <w:t>Etat d</w:t>
      </w:r>
      <w:r w:rsidR="005775D7">
        <w:t>’</w:t>
      </w:r>
      <w:r w:rsidR="00581655" w:rsidRPr="00CD3BAE">
        <w:t xml:space="preserve">origine. </w:t>
      </w:r>
    </w:p>
    <w:p w14:paraId="2E6F4A38" w14:textId="5BB0A07D" w:rsidR="003A0795" w:rsidRPr="003A0795" w:rsidRDefault="00204DC7" w:rsidP="00581655">
      <w:pPr>
        <w:rPr>
          <w:color w:val="FF0000"/>
        </w:rPr>
      </w:pPr>
      <w:r w:rsidRPr="00CD3BAE">
        <w:t>Il n</w:t>
      </w:r>
      <w:r w:rsidR="005775D7">
        <w:t>’</w:t>
      </w:r>
      <w:r w:rsidRPr="00CD3BAE">
        <w:t>est pas simplement ici question de</w:t>
      </w:r>
      <w:r w:rsidR="00581655" w:rsidRPr="00CD3BAE">
        <w:t xml:space="preserve"> la possibilité de ne pas reconnaitre les effets d</w:t>
      </w:r>
      <w:r w:rsidR="005775D7">
        <w:t>’</w:t>
      </w:r>
      <w:r w:rsidR="00581655" w:rsidRPr="00CD3BAE">
        <w:t xml:space="preserve">une </w:t>
      </w:r>
      <w:r w:rsidR="00020228" w:rsidRPr="00CD3BAE">
        <w:t>« </w:t>
      </w:r>
      <w:r w:rsidR="00581655" w:rsidRPr="00CD3BAE">
        <w:t>décision transnationale</w:t>
      </w:r>
      <w:r w:rsidR="00020228" w:rsidRPr="00CD3BAE">
        <w:t> »</w:t>
      </w:r>
      <w:r w:rsidR="00CF3888">
        <w:t xml:space="preserve"> ou de ne pas l</w:t>
      </w:r>
      <w:r w:rsidR="005775D7">
        <w:t>’</w:t>
      </w:r>
      <w:r w:rsidR="00CF3888">
        <w:t>exécuter</w:t>
      </w:r>
      <w:r w:rsidRPr="00CD3BAE">
        <w:t>,</w:t>
      </w:r>
      <w:r w:rsidR="00BF5D0D">
        <w:t xml:space="preserve"> lorsqu’</w:t>
      </w:r>
      <w:r w:rsidR="00726D13">
        <w:t>elle</w:t>
      </w:r>
      <w:r w:rsidR="00581655">
        <w:t xml:space="preserve"> met</w:t>
      </w:r>
      <w:r w:rsidR="00726D13">
        <w:t>trait</w:t>
      </w:r>
      <w:r w:rsidR="00581655">
        <w:t xml:space="preserve"> en cause des motifs supérieurs d</w:t>
      </w:r>
      <w:r w:rsidR="005775D7">
        <w:t>’</w:t>
      </w:r>
      <w:r w:rsidR="00581655">
        <w:t xml:space="preserve">intérêt général. </w:t>
      </w:r>
      <w:r w:rsidR="00CD3BAE">
        <w:t>De telles situations –</w:t>
      </w:r>
      <w:r>
        <w:t xml:space="preserve"> qui relèvent des motifs d</w:t>
      </w:r>
      <w:r w:rsidR="005775D7">
        <w:t>’</w:t>
      </w:r>
      <w:r>
        <w:t>intérêt général consacrés</w:t>
      </w:r>
      <w:r w:rsidR="00AF1AED">
        <w:t xml:space="preserve"> </w:t>
      </w:r>
      <w:r>
        <w:t xml:space="preserve">par les </w:t>
      </w:r>
      <w:r w:rsidR="00AF1AED">
        <w:t>dispositions du traité</w:t>
      </w:r>
      <w:r>
        <w:t xml:space="preserve"> ou </w:t>
      </w:r>
      <w:r w:rsidR="00CD3BAE">
        <w:t>par divers instruments de droit dérivé</w:t>
      </w:r>
      <w:r w:rsidR="00CD3BAE">
        <w:rPr>
          <w:rStyle w:val="Appelnotedebasdep"/>
        </w:rPr>
        <w:footnoteReference w:id="40"/>
      </w:r>
      <w:r w:rsidR="00CD3BAE">
        <w:t xml:space="preserve">, </w:t>
      </w:r>
      <w:r w:rsidR="00AF1AED">
        <w:t>et</w:t>
      </w:r>
      <w:r w:rsidR="00CD3BAE">
        <w:t xml:space="preserve"> </w:t>
      </w:r>
      <w:r>
        <w:t xml:space="preserve">des exigences impérieuses </w:t>
      </w:r>
      <w:r w:rsidR="00AF1AED">
        <w:t>ou</w:t>
      </w:r>
      <w:r>
        <w:t xml:space="preserve"> raisons impératives d</w:t>
      </w:r>
      <w:r w:rsidR="005775D7">
        <w:t>’</w:t>
      </w:r>
      <w:r>
        <w:t>intérêt gén</w:t>
      </w:r>
      <w:r w:rsidR="00CD3BAE">
        <w:t>éral d</w:t>
      </w:r>
      <w:r w:rsidR="005775D7">
        <w:t>’</w:t>
      </w:r>
      <w:r w:rsidR="00CD3BAE">
        <w:t>origine jurisprudentielle –</w:t>
      </w:r>
      <w:r w:rsidR="00020228">
        <w:t xml:space="preserve"> ne sont </w:t>
      </w:r>
      <w:r w:rsidR="00CD3BAE">
        <w:t xml:space="preserve">certainement </w:t>
      </w:r>
      <w:r w:rsidR="00020228">
        <w:t>pas dépourvues d</w:t>
      </w:r>
      <w:r w:rsidR="005775D7">
        <w:t>’</w:t>
      </w:r>
      <w:r w:rsidR="00020228">
        <w:t>intérêt s</w:t>
      </w:r>
      <w:r w:rsidR="005775D7">
        <w:t>’</w:t>
      </w:r>
      <w:r w:rsidR="00020228">
        <w:t xml:space="preserve">agissant </w:t>
      </w:r>
      <w:r w:rsidR="00AF1AED">
        <w:t>des limites</w:t>
      </w:r>
      <w:r w:rsidR="00020228">
        <w:t xml:space="preserve"> de la reconnaissance mutuelle</w:t>
      </w:r>
      <w:r w:rsidR="00CD3BAE">
        <w:rPr>
          <w:rStyle w:val="Appelnotedebasdep"/>
        </w:rPr>
        <w:footnoteReference w:id="41"/>
      </w:r>
      <w:r w:rsidR="00CD3BAE">
        <w:t>.</w:t>
      </w:r>
      <w:r w:rsidR="00AF1AED">
        <w:t xml:space="preserve"> </w:t>
      </w:r>
      <w:r w:rsidR="009C3C82" w:rsidRPr="009C3C82">
        <w:t>Cependant</w:t>
      </w:r>
      <w:r w:rsidR="00B83440" w:rsidRPr="009C3C82">
        <w:t xml:space="preserve">, </w:t>
      </w:r>
      <w:r w:rsidR="00AF1AED" w:rsidRPr="009C3C82">
        <w:t xml:space="preserve">sous réserve </w:t>
      </w:r>
      <w:r w:rsidR="009C3C82" w:rsidRPr="009C3C82">
        <w:t>du</w:t>
      </w:r>
      <w:r w:rsidR="00AF1AED" w:rsidRPr="009C3C82">
        <w:t xml:space="preserve"> contrôle de la Cour de justice</w:t>
      </w:r>
      <w:r w:rsidR="009C3C82" w:rsidRPr="009C3C82">
        <w:t xml:space="preserve"> sur </w:t>
      </w:r>
      <w:r w:rsidR="00726D13">
        <w:t>l</w:t>
      </w:r>
      <w:r w:rsidR="009C3C82" w:rsidRPr="009C3C82">
        <w:t>es justifications présentées par les Etats qui introduit une forme d</w:t>
      </w:r>
      <w:r w:rsidR="005775D7">
        <w:t>’</w:t>
      </w:r>
      <w:r w:rsidR="009C3C82" w:rsidRPr="009C3C82">
        <w:t>extranéité</w:t>
      </w:r>
      <w:r w:rsidR="00AF1AED" w:rsidRPr="00637A29">
        <w:rPr>
          <w:vertAlign w:val="superscript"/>
        </w:rPr>
        <w:footnoteReference w:id="42"/>
      </w:r>
      <w:r w:rsidR="00B83440" w:rsidRPr="009C3C82">
        <w:t>, elles restent conformes à la « règle du traitement national »</w:t>
      </w:r>
      <w:r w:rsidR="00B83440" w:rsidRPr="00637A29">
        <w:rPr>
          <w:vertAlign w:val="superscript"/>
        </w:rPr>
        <w:footnoteReference w:id="43"/>
      </w:r>
      <w:r w:rsidR="00A814BC" w:rsidRPr="009C3C82">
        <w:t>.</w:t>
      </w:r>
      <w:r w:rsidR="00E6369E" w:rsidRPr="009C3C82">
        <w:t xml:space="preserve"> </w:t>
      </w:r>
      <w:r w:rsidR="00BF5D0D">
        <w:t>En revanche</w:t>
      </w:r>
      <w:r w:rsidR="00AF1AED" w:rsidRPr="009C3C82">
        <w:t xml:space="preserve">, </w:t>
      </w:r>
      <w:r w:rsidR="009C3C82" w:rsidRPr="009C3C82">
        <w:t xml:space="preserve">il y a bien une </w:t>
      </w:r>
      <w:r w:rsidR="00581655" w:rsidRPr="009C3C82">
        <w:t>rupture avec le principe de territorialité</w:t>
      </w:r>
      <w:r w:rsidR="00AF1AED" w:rsidRPr="009C3C82">
        <w:t xml:space="preserve"> </w:t>
      </w:r>
      <w:r w:rsidR="009C3C82" w:rsidRPr="009C3C82">
        <w:t>du droit</w:t>
      </w:r>
      <w:r w:rsidR="00726D13">
        <w:t>,</w:t>
      </w:r>
      <w:r w:rsidR="009C3C82" w:rsidRPr="009C3C82">
        <w:t xml:space="preserve"> </w:t>
      </w:r>
      <w:r w:rsidR="00AF1AED" w:rsidRPr="009C3C82">
        <w:t>lorsque</w:t>
      </w:r>
      <w:r w:rsidR="00581655" w:rsidRPr="009C3C82">
        <w:t xml:space="preserve"> la </w:t>
      </w:r>
      <w:r w:rsidR="009C3C82">
        <w:t>régularité</w:t>
      </w:r>
      <w:r w:rsidR="00581655" w:rsidRPr="009C3C82">
        <w:t xml:space="preserve"> de l</w:t>
      </w:r>
      <w:r w:rsidR="005775D7">
        <w:t>’</w:t>
      </w:r>
      <w:r w:rsidR="00581655" w:rsidRPr="009C3C82">
        <w:t xml:space="preserve">acte transnational </w:t>
      </w:r>
      <w:r w:rsidR="00AF1AED" w:rsidRPr="009C3C82">
        <w:t>est</w:t>
      </w:r>
      <w:r w:rsidR="009C3C82">
        <w:t xml:space="preserve"> susceptible d</w:t>
      </w:r>
      <w:r w:rsidR="005775D7">
        <w:t>’</w:t>
      </w:r>
      <w:r w:rsidR="009C3C82">
        <w:t>être</w:t>
      </w:r>
      <w:r w:rsidR="00581655" w:rsidRPr="009C3C82">
        <w:t xml:space="preserve"> contestée devant les autorités de l</w:t>
      </w:r>
      <w:r w:rsidR="005775D7">
        <w:t>’</w:t>
      </w:r>
      <w:r w:rsidR="00581655" w:rsidRPr="009C3C82">
        <w:t>Etat d</w:t>
      </w:r>
      <w:r w:rsidR="005775D7">
        <w:t>’</w:t>
      </w:r>
      <w:r w:rsidR="00581655" w:rsidRPr="009C3C82">
        <w:t>accueil</w:t>
      </w:r>
      <w:r w:rsidR="003A0795" w:rsidRPr="009C3C82">
        <w:t xml:space="preserve">. </w:t>
      </w:r>
    </w:p>
    <w:p w14:paraId="2BF37369" w14:textId="2F64CEC2" w:rsidR="00581655" w:rsidRDefault="00581655" w:rsidP="00581655">
      <w:r>
        <w:lastRenderedPageBreak/>
        <w:t xml:space="preserve">La première </w:t>
      </w:r>
      <w:r w:rsidRPr="009C3C82">
        <w:t>manifestation de ce contrôle transfrontière</w:t>
      </w:r>
      <w:r w:rsidR="009C3C82" w:rsidRPr="009C3C82">
        <w:t xml:space="preserve"> est désormais bien connue</w:t>
      </w:r>
      <w:r w:rsidR="009C3C82">
        <w:rPr>
          <w:rStyle w:val="Appelnotedebasdep"/>
        </w:rPr>
        <w:footnoteReference w:id="44"/>
      </w:r>
      <w:r w:rsidR="009C3C82" w:rsidRPr="009C3C82">
        <w:t>. Elle</w:t>
      </w:r>
      <w:r w:rsidR="00726D13">
        <w:t> </w:t>
      </w:r>
      <w:r w:rsidRPr="009C3C82">
        <w:t>découle de l</w:t>
      </w:r>
      <w:r w:rsidR="005775D7">
        <w:t>’</w:t>
      </w:r>
      <w:r w:rsidRPr="009C3C82">
        <w:t xml:space="preserve">arrêt </w:t>
      </w:r>
      <w:proofErr w:type="spellStart"/>
      <w:r w:rsidRPr="009C3C82">
        <w:rPr>
          <w:i/>
        </w:rPr>
        <w:t>Forabosco</w:t>
      </w:r>
      <w:proofErr w:type="spellEnd"/>
      <w:r w:rsidRPr="009C3C82">
        <w:t xml:space="preserve"> rendu en 1999 par le Conseil d</w:t>
      </w:r>
      <w:r w:rsidR="005775D7">
        <w:t>’</w:t>
      </w:r>
      <w:r w:rsidRPr="009C3C82">
        <w:t>Etat</w:t>
      </w:r>
      <w:r w:rsidR="009C3C82">
        <w:rPr>
          <w:rStyle w:val="Appelnotedebasdep"/>
        </w:rPr>
        <w:footnoteReference w:id="45"/>
      </w:r>
      <w:r w:rsidR="009C3C82" w:rsidRPr="009C3C82">
        <w:t>. On rappellera que d</w:t>
      </w:r>
      <w:r w:rsidRPr="009C3C82">
        <w:t>ans le cadre de l</w:t>
      </w:r>
      <w:r w:rsidR="005775D7">
        <w:t>’</w:t>
      </w:r>
      <w:r w:rsidRPr="009C3C82">
        <w:t xml:space="preserve">espace Schengen, </w:t>
      </w:r>
      <w:r w:rsidR="009C3C82" w:rsidRPr="009C3C82">
        <w:t>le</w:t>
      </w:r>
      <w:r w:rsidRPr="009C3C82">
        <w:t xml:space="preserve"> signalement d</w:t>
      </w:r>
      <w:r w:rsidR="005775D7">
        <w:t>’</w:t>
      </w:r>
      <w:r w:rsidRPr="009C3C82">
        <w:t>un individu au SIS</w:t>
      </w:r>
      <w:r w:rsidR="009C3C82" w:rsidRPr="009C3C82">
        <w:t xml:space="preserve"> peut justifier de refuser tout</w:t>
      </w:r>
      <w:r w:rsidRPr="009C3C82">
        <w:t xml:space="preserve"> droit de séjour</w:t>
      </w:r>
      <w:r w:rsidR="009C3C82" w:rsidRPr="009C3C82">
        <w:t xml:space="preserve"> au demandeur.</w:t>
      </w:r>
      <w:r w:rsidRPr="009C3C82">
        <w:t xml:space="preserve"> </w:t>
      </w:r>
      <w:r w:rsidR="009C3C82" w:rsidRPr="009C3C82">
        <w:t>Cependant, l</w:t>
      </w:r>
      <w:r w:rsidRPr="009C3C82">
        <w:t xml:space="preserve">e juge </w:t>
      </w:r>
      <w:r w:rsidR="00833CBC">
        <w:t>français</w:t>
      </w:r>
      <w:r>
        <w:t xml:space="preserve"> consid</w:t>
      </w:r>
      <w:r w:rsidR="00726D13">
        <w:t xml:space="preserve">éra </w:t>
      </w:r>
      <w:r>
        <w:t>qu</w:t>
      </w:r>
      <w:r w:rsidR="005775D7">
        <w:t>’</w:t>
      </w:r>
      <w:r>
        <w:t xml:space="preserve">il lui </w:t>
      </w:r>
      <w:r w:rsidRPr="009C3C82">
        <w:t>« appartient […] de se prononcer sur le bien-fondé du moyen tiré du caractère injustifié d</w:t>
      </w:r>
      <w:r w:rsidR="005775D7">
        <w:t>’</w:t>
      </w:r>
      <w:r w:rsidRPr="009C3C82">
        <w:t>un signalement alors même qu</w:t>
      </w:r>
      <w:r w:rsidR="005775D7">
        <w:t>’</w:t>
      </w:r>
      <w:r w:rsidRPr="009C3C82">
        <w:t>il a été prononcé par une autorité administrative étrangère ».</w:t>
      </w:r>
      <w:r>
        <w:t xml:space="preserve"> </w:t>
      </w:r>
      <w:r w:rsidR="00726D13">
        <w:t>En vertu de cette position, confirmée depuis</w:t>
      </w:r>
      <w:r w:rsidR="002744EF">
        <w:rPr>
          <w:rStyle w:val="Appelnotedebasdep"/>
        </w:rPr>
        <w:footnoteReference w:id="46"/>
      </w:r>
      <w:r w:rsidR="00726D13">
        <w:t>, le juge administratif est amené à examiner plus précisément la régularité de l</w:t>
      </w:r>
      <w:r w:rsidR="005775D7">
        <w:t>’</w:t>
      </w:r>
      <w:r w:rsidR="00726D13">
        <w:t xml:space="preserve">inscription au regard </w:t>
      </w:r>
      <w:r w:rsidR="002744EF">
        <w:t>des motifs de fait</w:t>
      </w:r>
      <w:r w:rsidR="00726D13">
        <w:t xml:space="preserve"> et </w:t>
      </w:r>
      <w:r w:rsidR="002744EF">
        <w:t>des dispositions qui encadrent le fonctionnement de l</w:t>
      </w:r>
      <w:r w:rsidR="005775D7">
        <w:t>’</w:t>
      </w:r>
      <w:r w:rsidR="002744EF">
        <w:t>espace Schengen.</w:t>
      </w:r>
    </w:p>
    <w:p w14:paraId="7559FA2A" w14:textId="58D1F0B9" w:rsidR="0092125A" w:rsidRDefault="00FA2934" w:rsidP="00581655">
      <w:r>
        <w:t>Si en 1999 la juridiction française ne pouvait saisir la Cour de justice d</w:t>
      </w:r>
      <w:r w:rsidR="005775D7">
        <w:t>’</w:t>
      </w:r>
      <w:r>
        <w:t>un renvoi préjudiciel, cette dernière a toutefois pris position, dans un autre domaine, sur la question de l</w:t>
      </w:r>
      <w:r w:rsidR="005775D7">
        <w:t>’</w:t>
      </w:r>
      <w:r>
        <w:t xml:space="preserve">extension de la compétence territoriale des juridictions confrontées à des actes administratifs transnationaux. Ainsi, dans </w:t>
      </w:r>
      <w:r w:rsidRPr="00EE004F">
        <w:t>l</w:t>
      </w:r>
      <w:r w:rsidR="005775D7">
        <w:t>’</w:t>
      </w:r>
      <w:r w:rsidR="00581655" w:rsidRPr="00EE004F">
        <w:t xml:space="preserve">affaire </w:t>
      </w:r>
      <w:r w:rsidR="00581655" w:rsidRPr="00EE004F">
        <w:rPr>
          <w:i/>
          <w:spacing w:val="-2"/>
        </w:rPr>
        <w:t xml:space="preserve">X. et T. A. van </w:t>
      </w:r>
      <w:proofErr w:type="spellStart"/>
      <w:r w:rsidR="00581655" w:rsidRPr="00EE004F">
        <w:rPr>
          <w:i/>
          <w:spacing w:val="-2"/>
        </w:rPr>
        <w:t>Dijk</w:t>
      </w:r>
      <w:proofErr w:type="spellEnd"/>
      <w:r w:rsidR="00581655" w:rsidRPr="00EE004F">
        <w:t xml:space="preserve"> de 2015</w:t>
      </w:r>
      <w:r w:rsidRPr="00EE004F">
        <w:rPr>
          <w:rStyle w:val="Appelnotedebasdep"/>
        </w:rPr>
        <w:footnoteReference w:id="47"/>
      </w:r>
      <w:r w:rsidRPr="00EE004F">
        <w:t>, le juge de l</w:t>
      </w:r>
      <w:r w:rsidR="005775D7">
        <w:t>’</w:t>
      </w:r>
      <w:r w:rsidRPr="00EE004F">
        <w:t>Union européenne</w:t>
      </w:r>
      <w:r w:rsidR="00581655" w:rsidRPr="00EE004F">
        <w:t xml:space="preserve"> était amenée à se prononcer sur </w:t>
      </w:r>
      <w:r w:rsidR="00833CBC">
        <w:t xml:space="preserve">la </w:t>
      </w:r>
      <w:r w:rsidR="00833CBC" w:rsidRPr="00EE004F">
        <w:t xml:space="preserve">situation des bateliers rhénans </w:t>
      </w:r>
      <w:r w:rsidR="00833CBC">
        <w:t>au regard d</w:t>
      </w:r>
      <w:r w:rsidR="00581655" w:rsidRPr="00EE004F">
        <w:t xml:space="preserve">u </w:t>
      </w:r>
      <w:r w:rsidR="00581655" w:rsidRPr="00EE004F">
        <w:rPr>
          <w:spacing w:val="-2"/>
        </w:rPr>
        <w:t>règlement n° 1408/71</w:t>
      </w:r>
      <w:r w:rsidR="00581655" w:rsidRPr="00EE004F">
        <w:rPr>
          <w:rStyle w:val="Appelnotedebasdep"/>
        </w:rPr>
        <w:t xml:space="preserve"> </w:t>
      </w:r>
      <w:r w:rsidR="00581655" w:rsidRPr="00EE004F">
        <w:t xml:space="preserve">relatif à la coordination des régimes de </w:t>
      </w:r>
      <w:r w:rsidRPr="00EE004F">
        <w:t>s</w:t>
      </w:r>
      <w:r w:rsidR="00581655" w:rsidRPr="00EE004F">
        <w:t>écu</w:t>
      </w:r>
      <w:r w:rsidRPr="00EE004F">
        <w:t>rité</w:t>
      </w:r>
      <w:r w:rsidR="00581655" w:rsidRPr="00EE004F">
        <w:t xml:space="preserve"> </w:t>
      </w:r>
      <w:r w:rsidRPr="00EE004F">
        <w:t>s</w:t>
      </w:r>
      <w:r w:rsidR="00581655" w:rsidRPr="00EE004F">
        <w:t>oc</w:t>
      </w:r>
      <w:r w:rsidRPr="00EE004F">
        <w:t>iale</w:t>
      </w:r>
      <w:r w:rsidR="00833CBC">
        <w:t>, qui contient u</w:t>
      </w:r>
      <w:r w:rsidR="00EE004F" w:rsidRPr="00EE004F">
        <w:t>ne clause de déconnexion au profit d</w:t>
      </w:r>
      <w:r w:rsidR="005775D7">
        <w:t>’</w:t>
      </w:r>
      <w:r w:rsidR="00EE004F" w:rsidRPr="00EE004F">
        <w:t xml:space="preserve">un accord </w:t>
      </w:r>
      <w:r w:rsidR="00833CBC">
        <w:t xml:space="preserve">international </w:t>
      </w:r>
      <w:r w:rsidR="00EE004F" w:rsidRPr="00EE004F">
        <w:t>de 1961</w:t>
      </w:r>
      <w:r w:rsidR="00581655" w:rsidRPr="00EE004F">
        <w:t xml:space="preserve">. </w:t>
      </w:r>
      <w:r w:rsidRPr="00EE004F">
        <w:t>Il</w:t>
      </w:r>
      <w:r w:rsidR="00581655" w:rsidRPr="00EE004F">
        <w:t xml:space="preserve"> devait trancher la question de savoir s</w:t>
      </w:r>
      <w:r w:rsidR="005775D7">
        <w:t>’</w:t>
      </w:r>
      <w:r w:rsidR="00581655" w:rsidRPr="00EE004F">
        <w:t>il est possible pour les autorités d</w:t>
      </w:r>
      <w:r w:rsidR="005775D7">
        <w:t>’</w:t>
      </w:r>
      <w:r w:rsidR="00581655" w:rsidRPr="00EE004F">
        <w:t xml:space="preserve">un </w:t>
      </w:r>
      <w:r w:rsidR="0009745C" w:rsidRPr="00EE004F">
        <w:t>Etat membre</w:t>
      </w:r>
      <w:r w:rsidR="00EE004F">
        <w:t xml:space="preserve"> sur le territoire duquel travaille un batelier,</w:t>
      </w:r>
      <w:r w:rsidR="00581655" w:rsidRPr="00EE004F">
        <w:t xml:space="preserve"> lorsqu</w:t>
      </w:r>
      <w:r w:rsidR="005775D7">
        <w:t>’</w:t>
      </w:r>
      <w:r w:rsidR="00581655" w:rsidRPr="00EE004F">
        <w:t xml:space="preserve">un premier Etat a conféré à </w:t>
      </w:r>
      <w:r w:rsidR="00EE004F">
        <w:t>cet</w:t>
      </w:r>
      <w:r w:rsidR="00581655" w:rsidRPr="00EE004F">
        <w:t xml:space="preserve"> individu un certificat d</w:t>
      </w:r>
      <w:r w:rsidR="005775D7">
        <w:t>’</w:t>
      </w:r>
      <w:r w:rsidR="00581655" w:rsidRPr="00EE004F">
        <w:t>affiliation</w:t>
      </w:r>
      <w:r w:rsidR="00833CBC">
        <w:t xml:space="preserve"> en application des dispositions du règlement</w:t>
      </w:r>
      <w:r w:rsidR="00581655" w:rsidRPr="00EE004F">
        <w:t>, de contester la régularité de celui-ci</w:t>
      </w:r>
      <w:r w:rsidRPr="00EE004F">
        <w:t>. L</w:t>
      </w:r>
      <w:r w:rsidR="00581655" w:rsidRPr="00EE004F">
        <w:t xml:space="preserve">a Cour rappelle </w:t>
      </w:r>
      <w:r w:rsidR="00536D20" w:rsidRPr="00EE004F">
        <w:t>qu</w:t>
      </w:r>
      <w:proofErr w:type="gramStart"/>
      <w:r w:rsidR="005775D7">
        <w:t>’</w:t>
      </w:r>
      <w:r w:rsidR="00536D20" w:rsidRPr="00EE004F">
        <w:t>«</w:t>
      </w:r>
      <w:proofErr w:type="gramEnd"/>
      <w:r w:rsidR="00536D20" w:rsidRPr="00EE004F">
        <w:t> aussi longtemps qu</w:t>
      </w:r>
      <w:r w:rsidR="005775D7">
        <w:t>’</w:t>
      </w:r>
      <w:r w:rsidR="00536D20" w:rsidRPr="00EE004F">
        <w:t>il n</w:t>
      </w:r>
      <w:r w:rsidR="005775D7">
        <w:t>’</w:t>
      </w:r>
      <w:r w:rsidR="00536D20" w:rsidRPr="00EE004F">
        <w:t>est pas retiré ou déclaré invalide par les autorités de l</w:t>
      </w:r>
      <w:r w:rsidR="005775D7">
        <w:t>’</w:t>
      </w:r>
      <w:r w:rsidR="00536D20" w:rsidRPr="00EE004F">
        <w:t>État membre l</w:t>
      </w:r>
      <w:r w:rsidR="005775D7">
        <w:t>’</w:t>
      </w:r>
      <w:r w:rsidR="00536D20" w:rsidRPr="00EE004F">
        <w:t>ayant délivré, le certificat E 101 lie l</w:t>
      </w:r>
      <w:r w:rsidR="005775D7">
        <w:t>’</w:t>
      </w:r>
      <w:r w:rsidR="00536D20" w:rsidRPr="00EE004F">
        <w:t>institution compétente et les juridictions de l</w:t>
      </w:r>
      <w:r w:rsidR="005775D7">
        <w:t>’</w:t>
      </w:r>
      <w:r w:rsidR="00536D20" w:rsidRPr="00EE004F">
        <w:t>État membre dans lequel sont détachés les travailleurs</w:t>
      </w:r>
      <w:r w:rsidR="00EE004F" w:rsidRPr="00EE004F">
        <w:t> ».</w:t>
      </w:r>
      <w:r w:rsidR="00536D20" w:rsidRPr="00EE004F">
        <w:t xml:space="preserve"> </w:t>
      </w:r>
      <w:r w:rsidR="00EE004F" w:rsidRPr="00EE004F">
        <w:t>Toutefois</w:t>
      </w:r>
      <w:r w:rsidR="00581655" w:rsidRPr="00EE004F">
        <w:t xml:space="preserve"> elle ajoute</w:t>
      </w:r>
      <w:r w:rsidR="00581655" w:rsidRPr="00EE004F">
        <w:rPr>
          <w:i/>
        </w:rPr>
        <w:t xml:space="preserve"> </w:t>
      </w:r>
      <w:r w:rsidR="00581655" w:rsidRPr="00EE004F">
        <w:t>une exception</w:t>
      </w:r>
      <w:r w:rsidR="00EE004F" w:rsidRPr="00EE004F">
        <w:t xml:space="preserve"> à cette présomption de régularité</w:t>
      </w:r>
      <w:r w:rsidR="00581655" w:rsidRPr="00EE004F">
        <w:t xml:space="preserve">, dans le cas où il découlerait des dispositions du </w:t>
      </w:r>
      <w:r w:rsidRPr="00EE004F">
        <w:t>droit de l</w:t>
      </w:r>
      <w:r w:rsidR="005775D7">
        <w:t>’</w:t>
      </w:r>
      <w:r w:rsidRPr="00EE004F">
        <w:t>Union</w:t>
      </w:r>
      <w:r w:rsidR="00581655" w:rsidRPr="00EE004F">
        <w:t xml:space="preserve"> que l</w:t>
      </w:r>
      <w:r w:rsidR="005775D7">
        <w:t>’</w:t>
      </w:r>
      <w:r w:rsidR="00581655" w:rsidRPr="00EE004F">
        <w:t xml:space="preserve">administration du premier pays </w:t>
      </w:r>
      <w:r w:rsidR="00536D20" w:rsidRPr="00EE004F">
        <w:t>était en réalité incompétente.</w:t>
      </w:r>
      <w:r w:rsidR="00581655" w:rsidRPr="00EE004F">
        <w:t xml:space="preserve"> </w:t>
      </w:r>
    </w:p>
    <w:p w14:paraId="5CF847AD" w14:textId="32B80508" w:rsidR="003A0795" w:rsidRPr="0092125A" w:rsidRDefault="007C3F79" w:rsidP="00581655">
      <w:r>
        <w:t>Il s</w:t>
      </w:r>
      <w:r w:rsidR="005775D7">
        <w:t>’</w:t>
      </w:r>
      <w:r>
        <w:t>agit certainement d</w:t>
      </w:r>
      <w:r w:rsidR="005775D7">
        <w:t>’</w:t>
      </w:r>
      <w:r w:rsidR="00EE004F">
        <w:t>une solution exceptionnelle</w:t>
      </w:r>
      <w:r w:rsidR="00833CBC">
        <w:t>,</w:t>
      </w:r>
      <w:r w:rsidR="00EE004F">
        <w:t xml:space="preserve"> </w:t>
      </w:r>
      <w:r w:rsidR="00833CBC">
        <w:t>justifiée</w:t>
      </w:r>
      <w:r w:rsidR="00EE004F">
        <w:t xml:space="preserve"> par </w:t>
      </w:r>
      <w:r w:rsidR="00581655" w:rsidRPr="00EE004F">
        <w:t>une forme de théorie de l</w:t>
      </w:r>
      <w:r w:rsidR="005775D7">
        <w:t>’</w:t>
      </w:r>
      <w:r w:rsidR="00581655" w:rsidRPr="00EE004F">
        <w:t>inexistence</w:t>
      </w:r>
      <w:r>
        <w:t xml:space="preserve">, mais cet arrêt </w:t>
      </w:r>
      <w:r w:rsidR="0092125A">
        <w:t>semble</w:t>
      </w:r>
      <w:r>
        <w:t xml:space="preserve"> reconnaître</w:t>
      </w:r>
      <w:r w:rsidR="00EE004F">
        <w:t xml:space="preserve"> </w:t>
      </w:r>
      <w:r>
        <w:t>que dans ces circonstances un</w:t>
      </w:r>
      <w:r w:rsidR="00EE004F">
        <w:t xml:space="preserve"> juge </w:t>
      </w:r>
      <w:r>
        <w:t xml:space="preserve">interne </w:t>
      </w:r>
      <w:r w:rsidR="00EE004F">
        <w:t>peut</w:t>
      </w:r>
      <w:r>
        <w:t xml:space="preserve"> à bon droit soulever l</w:t>
      </w:r>
      <w:r w:rsidR="005775D7">
        <w:t>’</w:t>
      </w:r>
      <w:r>
        <w:t>irrégularité d</w:t>
      </w:r>
      <w:r w:rsidR="005775D7">
        <w:t>’</w:t>
      </w:r>
      <w:r>
        <w:t>une décision adoptée par l</w:t>
      </w:r>
      <w:r w:rsidR="005775D7">
        <w:t>’</w:t>
      </w:r>
      <w:r>
        <w:t>administration d</w:t>
      </w:r>
      <w:r w:rsidR="005775D7">
        <w:t>’</w:t>
      </w:r>
      <w:r>
        <w:t xml:space="preserve">un autre </w:t>
      </w:r>
      <w:r>
        <w:lastRenderedPageBreak/>
        <w:t>Etat membre pour en refuser l</w:t>
      </w:r>
      <w:r w:rsidR="005775D7">
        <w:t>’</w:t>
      </w:r>
      <w:r>
        <w:t>application.</w:t>
      </w:r>
      <w:r w:rsidR="0092125A">
        <w:t xml:space="preserve"> Cette</w:t>
      </w:r>
      <w:r w:rsidRPr="0092125A">
        <w:t xml:space="preserve"> lect</w:t>
      </w:r>
      <w:r w:rsidR="0092125A">
        <w:t>ure a été</w:t>
      </w:r>
      <w:r w:rsidRPr="0092125A">
        <w:t xml:space="preserve"> confirmée par l</w:t>
      </w:r>
      <w:r w:rsidR="005775D7">
        <w:t>’</w:t>
      </w:r>
      <w:r w:rsidRPr="0092125A">
        <w:t xml:space="preserve">arrêt </w:t>
      </w:r>
      <w:r w:rsidRPr="0092125A">
        <w:rPr>
          <w:i/>
        </w:rPr>
        <w:t>Berlioz</w:t>
      </w:r>
      <w:r w:rsidRPr="0092125A">
        <w:t xml:space="preserve"> rendu le</w:t>
      </w:r>
      <w:r w:rsidR="00581655" w:rsidRPr="0092125A">
        <w:t xml:space="preserve"> 16 mai </w:t>
      </w:r>
      <w:r w:rsidRPr="0092125A">
        <w:t>2017</w:t>
      </w:r>
      <w:r w:rsidR="0092125A" w:rsidRPr="0092125A">
        <w:t xml:space="preserve"> </w:t>
      </w:r>
      <w:r w:rsidR="0092125A">
        <w:t>en</w:t>
      </w:r>
      <w:r w:rsidR="0092125A" w:rsidRPr="0092125A">
        <w:t xml:space="preserve"> Grande chambre. La</w:t>
      </w:r>
      <w:r w:rsidR="00581655" w:rsidRPr="0092125A">
        <w:t xml:space="preserve"> Cour de justice </w:t>
      </w:r>
      <w:r w:rsidR="0092125A" w:rsidRPr="0092125A">
        <w:t>y affirme</w:t>
      </w:r>
      <w:r w:rsidR="00581655" w:rsidRPr="0092125A">
        <w:t>, à propos de la mise en œuvre de la directive 2011/16/UE relative à la coopération admini</w:t>
      </w:r>
      <w:r w:rsidRPr="0092125A">
        <w:t>strative dans le domaine fiscal</w:t>
      </w:r>
      <w:r w:rsidR="00581655" w:rsidRPr="0092125A">
        <w:t>, qu</w:t>
      </w:r>
      <w:r w:rsidR="005775D7">
        <w:t>’</w:t>
      </w:r>
      <w:r w:rsidR="00581655" w:rsidRPr="0092125A">
        <w:t>au nom du droit à un recours effectif un administré peut tout à fait contester, par voie d</w:t>
      </w:r>
      <w:r w:rsidR="005775D7">
        <w:t>’</w:t>
      </w:r>
      <w:r w:rsidR="00581655" w:rsidRPr="0092125A">
        <w:t>exception, devant les juridictions de l</w:t>
      </w:r>
      <w:r w:rsidR="005775D7">
        <w:t>’</w:t>
      </w:r>
      <w:r w:rsidR="00581655" w:rsidRPr="0092125A">
        <w:t xml:space="preserve">Etat requis la </w:t>
      </w:r>
      <w:r w:rsidR="0092125A">
        <w:t>régularit</w:t>
      </w:r>
      <w:r w:rsidR="00581655" w:rsidRPr="0092125A">
        <w:t>é</w:t>
      </w:r>
      <w:r w:rsidR="0092125A">
        <w:t xml:space="preserve"> au regard de la</w:t>
      </w:r>
      <w:r w:rsidR="00581655" w:rsidRPr="0092125A">
        <w:t>dite directive d</w:t>
      </w:r>
      <w:r w:rsidR="005775D7">
        <w:t>’</w:t>
      </w:r>
      <w:r w:rsidR="00581655" w:rsidRPr="0092125A">
        <w:t>une demande d</w:t>
      </w:r>
      <w:r w:rsidR="005775D7">
        <w:t>’</w:t>
      </w:r>
      <w:r w:rsidR="00581655" w:rsidRPr="0092125A">
        <w:t xml:space="preserve">information émise par un autre </w:t>
      </w:r>
      <w:r w:rsidR="0009745C" w:rsidRPr="0092125A">
        <w:t>Etat membre</w:t>
      </w:r>
      <w:r w:rsidRPr="0092125A">
        <w:rPr>
          <w:vertAlign w:val="superscript"/>
        </w:rPr>
        <w:footnoteReference w:id="48"/>
      </w:r>
      <w:r w:rsidR="0092125A">
        <w:t>.</w:t>
      </w:r>
      <w:r w:rsidR="00581655" w:rsidRPr="0092125A">
        <w:t xml:space="preserve"> </w:t>
      </w:r>
    </w:p>
    <w:p w14:paraId="15B3784D" w14:textId="7AC72B9C" w:rsidR="007D463C" w:rsidRPr="007D463C" w:rsidRDefault="00581655" w:rsidP="007D463C">
      <w:r>
        <w:t>Ces trois exemples montrent qu</w:t>
      </w:r>
      <w:r w:rsidR="005775D7">
        <w:t>’</w:t>
      </w:r>
      <w:r>
        <w:t>il y a</w:t>
      </w:r>
      <w:r w:rsidR="0092125A">
        <w:t xml:space="preserve"> une différence fondamentale s</w:t>
      </w:r>
      <w:r w:rsidR="005775D7">
        <w:t>’</w:t>
      </w:r>
      <w:r w:rsidR="0092125A">
        <w:t>agissant de la circulation des actes transnationaux, selon qu</w:t>
      </w:r>
      <w:r w:rsidR="005775D7">
        <w:t>’</w:t>
      </w:r>
      <w:r w:rsidR="0092125A">
        <w:t>il s</w:t>
      </w:r>
      <w:r w:rsidR="005775D7">
        <w:t>’</w:t>
      </w:r>
      <w:r w:rsidR="0092125A">
        <w:t>agit d</w:t>
      </w:r>
      <w:r w:rsidR="005775D7">
        <w:t>’</w:t>
      </w:r>
      <w:r w:rsidR="0092125A">
        <w:t>un acte d</w:t>
      </w:r>
      <w:r w:rsidR="005775D7">
        <w:t>’</w:t>
      </w:r>
      <w:r w:rsidR="0092125A">
        <w:t>origine administrative ou juridictionnelle</w:t>
      </w:r>
      <w:r>
        <w:t>.</w:t>
      </w:r>
      <w:r w:rsidR="0092125A">
        <w:t xml:space="preserve"> </w:t>
      </w:r>
      <w:r w:rsidR="007D463C">
        <w:t>L</w:t>
      </w:r>
      <w:r w:rsidR="007D463C" w:rsidRPr="007D463C">
        <w:t xml:space="preserve">e contrôle de la conventionnalité des décisions transnationales connaît </w:t>
      </w:r>
      <w:r w:rsidR="007D463C">
        <w:t xml:space="preserve">en effet </w:t>
      </w:r>
      <w:r w:rsidR="007D463C" w:rsidRPr="007D463C">
        <w:t>une limite fondamentale : il n</w:t>
      </w:r>
      <w:r w:rsidR="005775D7">
        <w:t>’</w:t>
      </w:r>
      <w:r w:rsidR="007D463C" w:rsidRPr="007D463C">
        <w:t>est pas permis à l</w:t>
      </w:r>
      <w:r w:rsidR="005775D7">
        <w:t>’</w:t>
      </w:r>
      <w:r w:rsidR="007D463C" w:rsidRPr="007D463C">
        <w:t>égard des décisions juridictionnelles</w:t>
      </w:r>
      <w:r w:rsidR="00E70121">
        <w:t>, qui</w:t>
      </w:r>
      <w:r w:rsidR="007D463C" w:rsidRPr="007D463C">
        <w:t xml:space="preserve"> ne peuvent être contestées que devant les juridictions du pays d</w:t>
      </w:r>
      <w:r w:rsidR="005775D7">
        <w:t>’</w:t>
      </w:r>
      <w:r w:rsidR="007D463C" w:rsidRPr="007D463C">
        <w:t>origine et conformément aux règles de procédure existante</w:t>
      </w:r>
      <w:r w:rsidR="00E70121">
        <w:t>s. L</w:t>
      </w:r>
      <w:r w:rsidR="005775D7">
        <w:t>’</w:t>
      </w:r>
      <w:r w:rsidR="00E70121">
        <w:t>affirmation a été particulièrement claire dans le domaine de l</w:t>
      </w:r>
      <w:r w:rsidR="005775D7">
        <w:t>’</w:t>
      </w:r>
      <w:r w:rsidR="00E70121">
        <w:t>enlèvement d</w:t>
      </w:r>
      <w:r w:rsidR="005775D7">
        <w:t>’</w:t>
      </w:r>
      <w:r w:rsidR="00E70121">
        <w:t>enfant régi par le règlement 2201/2003</w:t>
      </w:r>
      <w:r w:rsidR="007D463C" w:rsidRPr="00E70121">
        <w:rPr>
          <w:vertAlign w:val="superscript"/>
        </w:rPr>
        <w:footnoteReference w:id="49"/>
      </w:r>
      <w:r w:rsidR="007D463C">
        <w:t>. T</w:t>
      </w:r>
      <w:r w:rsidR="007D463C" w:rsidRPr="007D463C">
        <w:t xml:space="preserve">out au plus la </w:t>
      </w:r>
      <w:r w:rsidR="007D463C">
        <w:t>Cour</w:t>
      </w:r>
      <w:r w:rsidR="007D463C" w:rsidRPr="007D463C">
        <w:t xml:space="preserve"> a-t-elle accepté</w:t>
      </w:r>
      <w:r w:rsidR="007D463C">
        <w:t>, sous la contrainte des exigences de son homologue strasbourgeoise,</w:t>
      </w:r>
      <w:r w:rsidR="00655EA1">
        <w:t xml:space="preserve"> </w:t>
      </w:r>
      <w:r w:rsidR="00833CBC">
        <w:t>s’agissant</w:t>
      </w:r>
      <w:r w:rsidR="00E70121">
        <w:t xml:space="preserve"> </w:t>
      </w:r>
      <w:r w:rsidR="00E70121" w:rsidRPr="007D463C">
        <w:t>mandat d</w:t>
      </w:r>
      <w:r w:rsidR="005775D7">
        <w:t>’</w:t>
      </w:r>
      <w:r w:rsidR="00E70121" w:rsidRPr="007D463C">
        <w:t>arrêt européen</w:t>
      </w:r>
      <w:r w:rsidR="00655EA1">
        <w:t>, qu</w:t>
      </w:r>
      <w:r w:rsidR="005775D7">
        <w:t>’</w:t>
      </w:r>
      <w:r w:rsidR="007D463C" w:rsidRPr="007D463C">
        <w:t xml:space="preserve">il </w:t>
      </w:r>
      <w:r w:rsidR="00E70121">
        <w:t>puisse être</w:t>
      </w:r>
      <w:r w:rsidR="007D463C" w:rsidRPr="007D463C">
        <w:t xml:space="preserve"> fait obstacle à l</w:t>
      </w:r>
      <w:r w:rsidR="005775D7">
        <w:t>’</w:t>
      </w:r>
      <w:r w:rsidR="007D463C" w:rsidRPr="007D463C">
        <w:t>automaticité de la remise dans les circonstances exceptionnelles de l</w:t>
      </w:r>
      <w:r w:rsidR="005775D7">
        <w:t>’</w:t>
      </w:r>
      <w:r w:rsidR="007D463C" w:rsidRPr="007D463C">
        <w:t xml:space="preserve">affaire </w:t>
      </w:r>
      <w:proofErr w:type="spellStart"/>
      <w:r w:rsidR="007D463C" w:rsidRPr="007D463C">
        <w:rPr>
          <w:i/>
        </w:rPr>
        <w:t>Aranyosi</w:t>
      </w:r>
      <w:proofErr w:type="spellEnd"/>
      <w:r w:rsidR="007D463C" w:rsidRPr="007D463C">
        <w:t xml:space="preserve"> et </w:t>
      </w:r>
      <w:proofErr w:type="spellStart"/>
      <w:r w:rsidR="007D463C" w:rsidRPr="007D463C">
        <w:rPr>
          <w:i/>
        </w:rPr>
        <w:t>Căldăraru</w:t>
      </w:r>
      <w:proofErr w:type="spellEnd"/>
      <w:r w:rsidR="007D463C" w:rsidRPr="007D463C">
        <w:rPr>
          <w:i/>
          <w:vertAlign w:val="superscript"/>
        </w:rPr>
        <w:t xml:space="preserve"> </w:t>
      </w:r>
      <w:r w:rsidR="007D463C">
        <w:rPr>
          <w:rStyle w:val="Appelnotedebasdep"/>
          <w:i/>
        </w:rPr>
        <w:footnoteReference w:id="50"/>
      </w:r>
      <w:r w:rsidR="007D463C">
        <w:t xml:space="preserve"> – s</w:t>
      </w:r>
      <w:r w:rsidR="007D463C" w:rsidRPr="007D463C">
        <w:t>ans que cela n</w:t>
      </w:r>
      <w:r w:rsidR="005775D7">
        <w:t>’</w:t>
      </w:r>
      <w:r w:rsidR="007D463C" w:rsidRPr="007D463C">
        <w:t>induise e</w:t>
      </w:r>
      <w:r w:rsidR="00B97B1B">
        <w:t xml:space="preserve">n principe de nullité du mandat, lequel </w:t>
      </w:r>
      <w:r w:rsidR="007D463C" w:rsidRPr="007D463C">
        <w:t xml:space="preserve">est simplement suspendu. </w:t>
      </w:r>
      <w:r w:rsidR="001B7C19">
        <w:t xml:space="preserve">De même, </w:t>
      </w:r>
      <w:r w:rsidR="00FC1E05">
        <w:t xml:space="preserve">dans le cadre du règlement Bruxelles I, </w:t>
      </w:r>
      <w:r w:rsidR="001B7C19">
        <w:t>c</w:t>
      </w:r>
      <w:r w:rsidR="005775D7">
        <w:t>’</w:t>
      </w:r>
      <w:r w:rsidR="001B7C19">
        <w:t xml:space="preserve">est sous </w:t>
      </w:r>
      <w:r w:rsidR="00B97B1B">
        <w:t>de</w:t>
      </w:r>
      <w:r w:rsidR="001B7C19">
        <w:t xml:space="preserve"> très restrictives</w:t>
      </w:r>
      <w:r w:rsidR="00B97B1B">
        <w:t xml:space="preserve"> conditions que la Cour</w:t>
      </w:r>
      <w:r w:rsidR="001B7C19">
        <w:t xml:space="preserve"> admet</w:t>
      </w:r>
      <w:r w:rsidR="00FC1E05">
        <w:t xml:space="preserve"> </w:t>
      </w:r>
      <w:r w:rsidR="001B7C19">
        <w:t>l</w:t>
      </w:r>
      <w:r w:rsidR="005775D7">
        <w:t>’</w:t>
      </w:r>
      <w:r w:rsidR="001B7C19">
        <w:t>absence d</w:t>
      </w:r>
      <w:r w:rsidR="005775D7">
        <w:t>’</w:t>
      </w:r>
      <w:r w:rsidR="001B7C19">
        <w:t>exécution</w:t>
      </w:r>
      <w:r w:rsidR="00C4655A">
        <w:t xml:space="preserve"> au nom de l</w:t>
      </w:r>
      <w:r w:rsidR="005775D7">
        <w:t>’</w:t>
      </w:r>
      <w:r w:rsidR="00C4655A">
        <w:t>ordre public international de l</w:t>
      </w:r>
      <w:r w:rsidR="005775D7">
        <w:t>’</w:t>
      </w:r>
      <w:r w:rsidR="00C4655A">
        <w:t>Etat requis</w:t>
      </w:r>
      <w:r w:rsidR="001B7C19">
        <w:t xml:space="preserve"> d</w:t>
      </w:r>
      <w:r w:rsidR="005775D7">
        <w:t>’</w:t>
      </w:r>
      <w:r w:rsidR="001B7C19">
        <w:t xml:space="preserve">une décision de justice étrangère </w:t>
      </w:r>
      <w:r w:rsidR="00FC1E05">
        <w:t>dont la validité n</w:t>
      </w:r>
      <w:r w:rsidR="005775D7">
        <w:t>’</w:t>
      </w:r>
      <w:r w:rsidR="00FC1E05">
        <w:t>a pas été contestée dans le pays d</w:t>
      </w:r>
      <w:r w:rsidR="005775D7">
        <w:t>’</w:t>
      </w:r>
      <w:r w:rsidR="00FC1E05">
        <w:t>origine</w:t>
      </w:r>
      <w:r w:rsidR="00FC1E05">
        <w:rPr>
          <w:rStyle w:val="Appelnotedebasdep"/>
        </w:rPr>
        <w:footnoteReference w:id="51"/>
      </w:r>
      <w:r w:rsidR="00FC1E05">
        <w:t>.</w:t>
      </w:r>
    </w:p>
    <w:p w14:paraId="3090F434" w14:textId="5C7C6914" w:rsidR="000263F3" w:rsidRDefault="007D463C" w:rsidP="00655EA1">
      <w:r w:rsidRPr="007D463C">
        <w:t>Il s</w:t>
      </w:r>
      <w:r w:rsidR="005775D7">
        <w:t>’</w:t>
      </w:r>
      <w:r w:rsidRPr="007D463C">
        <w:t>agit d</w:t>
      </w:r>
      <w:r w:rsidR="005775D7">
        <w:t>’</w:t>
      </w:r>
      <w:r w:rsidRPr="007D463C">
        <w:t xml:space="preserve">une forme de </w:t>
      </w:r>
      <w:r w:rsidR="0086280A">
        <w:t>déférence à l</w:t>
      </w:r>
      <w:r w:rsidR="005775D7">
        <w:t>’</w:t>
      </w:r>
      <w:r w:rsidR="0086280A">
        <w:t>égard</w:t>
      </w:r>
      <w:r w:rsidRPr="007D463C">
        <w:t xml:space="preserve"> du pouvoir juridictionnel qui </w:t>
      </w:r>
      <w:r w:rsidR="0086280A">
        <w:t>n</w:t>
      </w:r>
      <w:r w:rsidR="005775D7">
        <w:t>’</w:t>
      </w:r>
      <w:r w:rsidR="0086280A">
        <w:t xml:space="preserve">est pas surprenante, au </w:t>
      </w:r>
      <w:r w:rsidR="000C2635">
        <w:t xml:space="preserve">regard de </w:t>
      </w:r>
      <w:r w:rsidRPr="007D463C">
        <w:t>la pratique de la Cour de justice en matière de responsabilité de l</w:t>
      </w:r>
      <w:r w:rsidR="005775D7">
        <w:t>’</w:t>
      </w:r>
      <w:r w:rsidRPr="007D463C">
        <w:t xml:space="preserve">Etat, mais qui </w:t>
      </w:r>
      <w:r w:rsidR="00BE2EC4">
        <w:t xml:space="preserve">pourrait </w:t>
      </w:r>
      <w:r w:rsidR="000C2635">
        <w:t>justifier un encadrement de l</w:t>
      </w:r>
      <w:r w:rsidR="005775D7">
        <w:t>’</w:t>
      </w:r>
      <w:r w:rsidR="000C2635">
        <w:t>autonomie procédurale</w:t>
      </w:r>
      <w:r w:rsidR="00B97B1B">
        <w:t>. I</w:t>
      </w:r>
      <w:r w:rsidRPr="007D463C">
        <w:t xml:space="preserve">l </w:t>
      </w:r>
      <w:r w:rsidR="000C2635">
        <w:t>s</w:t>
      </w:r>
      <w:r w:rsidR="005775D7">
        <w:t>’</w:t>
      </w:r>
      <w:r w:rsidR="000C2635">
        <w:t>agirait</w:t>
      </w:r>
      <w:r w:rsidR="00BE2EC4">
        <w:t>,</w:t>
      </w:r>
      <w:r w:rsidRPr="007D463C">
        <w:t xml:space="preserve"> comme en matière d</w:t>
      </w:r>
      <w:r w:rsidR="005775D7">
        <w:t>’</w:t>
      </w:r>
      <w:r w:rsidRPr="007D463C">
        <w:t xml:space="preserve">application du </w:t>
      </w:r>
      <w:r w:rsidR="006D6D97">
        <w:t>droit de l</w:t>
      </w:r>
      <w:r w:rsidR="005775D7">
        <w:t>’</w:t>
      </w:r>
      <w:r w:rsidR="006D6D97">
        <w:t>Union</w:t>
      </w:r>
      <w:r w:rsidR="00B82EBA">
        <w:rPr>
          <w:rStyle w:val="Appelnotedebasdep"/>
        </w:rPr>
        <w:footnoteReference w:id="52"/>
      </w:r>
      <w:r w:rsidRPr="007D463C">
        <w:t>,</w:t>
      </w:r>
      <w:r w:rsidR="000C2635">
        <w:t xml:space="preserve"> de</w:t>
      </w:r>
      <w:r w:rsidRPr="007D463C">
        <w:t xml:space="preserve"> reconnaître à la juridiction saisie le </w:t>
      </w:r>
      <w:r w:rsidRPr="007D463C">
        <w:lastRenderedPageBreak/>
        <w:t>pouvoir de suspendre l</w:t>
      </w:r>
      <w:r w:rsidR="005775D7">
        <w:t>’</w:t>
      </w:r>
      <w:r w:rsidRPr="007D463C">
        <w:t xml:space="preserve">exécution </w:t>
      </w:r>
      <w:r w:rsidR="003C6F11">
        <w:t>d</w:t>
      </w:r>
      <w:r w:rsidR="005775D7">
        <w:t>’</w:t>
      </w:r>
      <w:r w:rsidR="003C6F11">
        <w:t xml:space="preserve">une décision </w:t>
      </w:r>
      <w:r w:rsidR="003C6F11" w:rsidRPr="007D463C">
        <w:t>de justice « transnationale »</w:t>
      </w:r>
      <w:r w:rsidR="003C6F11" w:rsidRPr="007D463C">
        <w:rPr>
          <w:vertAlign w:val="superscript"/>
        </w:rPr>
        <w:footnoteReference w:id="53"/>
      </w:r>
      <w:r w:rsidR="00BE2EC4">
        <w:t>,</w:t>
      </w:r>
      <w:r w:rsidRPr="007D463C">
        <w:t xml:space="preserve"> dans l</w:t>
      </w:r>
      <w:r w:rsidR="005775D7">
        <w:t>’</w:t>
      </w:r>
      <w:r w:rsidRPr="007D463C">
        <w:t xml:space="preserve">hypothèse où les </w:t>
      </w:r>
      <w:r w:rsidR="006D6D97">
        <w:t>personnes concernées souhait</w:t>
      </w:r>
      <w:r w:rsidRPr="007D463C">
        <w:t>ent en contester la validité de</w:t>
      </w:r>
      <w:r w:rsidR="003C6F11">
        <w:t>vant le système juridictionnel de l</w:t>
      </w:r>
      <w:r w:rsidR="005775D7">
        <w:t>’</w:t>
      </w:r>
      <w:r w:rsidR="003C6F11">
        <w:t>Etat d</w:t>
      </w:r>
      <w:r w:rsidR="005775D7">
        <w:t>’</w:t>
      </w:r>
      <w:r w:rsidRPr="007D463C">
        <w:t>origine</w:t>
      </w:r>
      <w:r w:rsidR="000C2635">
        <w:rPr>
          <w:rStyle w:val="Appelnotedebasdep"/>
        </w:rPr>
        <w:footnoteReference w:id="54"/>
      </w:r>
      <w:r w:rsidR="000C2635">
        <w:t>.</w:t>
      </w:r>
    </w:p>
    <w:p w14:paraId="2BD7F92A" w14:textId="607EAA16" w:rsidR="00B97B1B" w:rsidRDefault="00A57F13" w:rsidP="00655EA1">
      <w:r w:rsidRPr="00A57F13">
        <w:t>Le principe de reconnaissance mutuelle se présente donc comme une double exception à la territorialité du droit qui entraîne de profonds bouleversements dans les mécanismes d’application des droits nationaux. Ces changements sont probablement des corollaires de la construction d’un nouvel espace juridique et politique au niveau européen. En effet, considéré à l’échelle du système européen, le principe de reconnaissance mutuelle apparaît comme un mécanisme transnational inhérent à la dimension constitutionnelle de l’U</w:t>
      </w:r>
      <w:r>
        <w:t>nion</w:t>
      </w:r>
      <w:r w:rsidRPr="00A57F13">
        <w:t>.</w:t>
      </w:r>
    </w:p>
    <w:p w14:paraId="2A08870E" w14:textId="6809D84B" w:rsidR="00655EA1" w:rsidRDefault="00655EA1" w:rsidP="00655EA1">
      <w:pPr>
        <w:pStyle w:val="Titre3"/>
      </w:pPr>
      <w:r>
        <w:t>L</w:t>
      </w:r>
      <w:r w:rsidR="005775D7">
        <w:t>’</w:t>
      </w:r>
      <w:r>
        <w:t>échelle systémique : un méca</w:t>
      </w:r>
      <w:r w:rsidR="00AD02F8">
        <w:t xml:space="preserve">nisme transnational inhérent à </w:t>
      </w:r>
      <w:r>
        <w:t>la nature et aux structures constitutionnelles de l</w:t>
      </w:r>
      <w:r w:rsidR="005775D7">
        <w:t>’</w:t>
      </w:r>
      <w:r>
        <w:t>UE</w:t>
      </w:r>
    </w:p>
    <w:p w14:paraId="7CB24692" w14:textId="77777777" w:rsidR="00737334" w:rsidRDefault="00A57F13" w:rsidP="00F77457">
      <w:r>
        <w:t>Les perturbations qu’entraine</w:t>
      </w:r>
      <w:r w:rsidR="00802BFB">
        <w:t xml:space="preserve"> le principe de reconnaissance mutuelle </w:t>
      </w:r>
      <w:r>
        <w:t>dans les droits internes sont souvent appréhendées</w:t>
      </w:r>
      <w:r w:rsidR="00A90FEF">
        <w:t xml:space="preserve"> comme une forme de dérégulation</w:t>
      </w:r>
      <w:r w:rsidR="00AD02F8">
        <w:t>,</w:t>
      </w:r>
      <w:r w:rsidR="00A90FEF">
        <w:t xml:space="preserve"> postulant la primauté de l</w:t>
      </w:r>
      <w:r w:rsidR="005775D7">
        <w:t>’</w:t>
      </w:r>
      <w:r w:rsidR="00A90FEF">
        <w:t>intérêt particulier de l</w:t>
      </w:r>
      <w:r w:rsidR="005775D7">
        <w:t>’</w:t>
      </w:r>
      <w:r w:rsidR="00A90FEF">
        <w:t>opérateur économique qui tire</w:t>
      </w:r>
      <w:r w:rsidR="00F77457">
        <w:t>rait</w:t>
      </w:r>
      <w:r w:rsidR="00A90FEF">
        <w:t xml:space="preserve"> ainsi profit de la liberté de circulation. </w:t>
      </w:r>
      <w:r w:rsidR="00BA5CDA">
        <w:t>La </w:t>
      </w:r>
      <w:r w:rsidR="00F77457">
        <w:t xml:space="preserve">reconnaissance mutuelle </w:t>
      </w:r>
      <w:r>
        <w:t xml:space="preserve">ne </w:t>
      </w:r>
      <w:r w:rsidR="00F77457">
        <w:t xml:space="preserve">serait </w:t>
      </w:r>
      <w:r>
        <w:t>que l’i</w:t>
      </w:r>
      <w:r w:rsidR="00F77457">
        <w:t>nstrument d</w:t>
      </w:r>
      <w:r w:rsidR="005775D7">
        <w:t>’</w:t>
      </w:r>
      <w:r w:rsidR="00F77457">
        <w:t xml:space="preserve">une politique libérale – non </w:t>
      </w:r>
      <w:r w:rsidR="00BA5CDA">
        <w:t>plus</w:t>
      </w:r>
      <w:r w:rsidR="00814E51">
        <w:t xml:space="preserve"> a</w:t>
      </w:r>
      <w:r w:rsidR="00F77457">
        <w:t xml:space="preserve">u sens économique, mais </w:t>
      </w:r>
      <w:r w:rsidR="00814E51">
        <w:t xml:space="preserve">au sens politique du terme – </w:t>
      </w:r>
      <w:r w:rsidR="00814E51">
        <w:rPr>
          <w:i/>
        </w:rPr>
        <w:t>a priori</w:t>
      </w:r>
      <w:r w:rsidR="00814E51">
        <w:t xml:space="preserve"> peu compatible avec la notion philosophique de reconnaissance et avec la dimension constitutive de cette dernière.</w:t>
      </w:r>
      <w:r w:rsidR="00F77457">
        <w:t xml:space="preserve"> </w:t>
      </w:r>
      <w:r w:rsidR="00814E51">
        <w:t xml:space="preserve">Si cette </w:t>
      </w:r>
      <w:r w:rsidR="00A90FEF">
        <w:t>appréciation</w:t>
      </w:r>
      <w:r w:rsidR="00814E51">
        <w:t xml:space="preserve"> paraît</w:t>
      </w:r>
      <w:r w:rsidR="00A90FEF">
        <w:t xml:space="preserve"> se vérifie</w:t>
      </w:r>
      <w:r w:rsidR="00814E51">
        <w:t>r</w:t>
      </w:r>
      <w:r w:rsidR="00A90FEF">
        <w:t xml:space="preserve"> dans le champ du marché intérieur, la situation est</w:t>
      </w:r>
      <w:r w:rsidR="007C7D05">
        <w:t xml:space="preserve"> cependant</w:t>
      </w:r>
      <w:r w:rsidR="00A90FEF">
        <w:t xml:space="preserve"> moins </w:t>
      </w:r>
      <w:r w:rsidR="00AD02F8">
        <w:t>claire dans celui de l</w:t>
      </w:r>
      <w:r w:rsidR="005775D7">
        <w:t>’</w:t>
      </w:r>
      <w:r w:rsidR="00AD02F8">
        <w:t>ELSJ</w:t>
      </w:r>
      <w:r w:rsidR="00A24887">
        <w:rPr>
          <w:rStyle w:val="Appelnotedebasdep"/>
        </w:rPr>
        <w:footnoteReference w:id="55"/>
      </w:r>
      <w:r w:rsidR="00AD02F8">
        <w:t>.</w:t>
      </w:r>
      <w:r w:rsidR="00737334">
        <w:t xml:space="preserve"> </w:t>
      </w:r>
      <w:r w:rsidR="00AD02F8">
        <w:t>La </w:t>
      </w:r>
      <w:r w:rsidR="00A90FEF">
        <w:t xml:space="preserve">reconnaissance </w:t>
      </w:r>
      <w:r w:rsidR="00AD02F8">
        <w:t xml:space="preserve">y </w:t>
      </w:r>
      <w:r w:rsidR="00A90FEF">
        <w:t xml:space="preserve">apparaît davantage </w:t>
      </w:r>
      <w:r w:rsidR="00A17DAB">
        <w:t>comme le moyen d</w:t>
      </w:r>
      <w:r w:rsidR="005775D7">
        <w:t>’</w:t>
      </w:r>
      <w:r w:rsidR="00A17DAB">
        <w:t>éviter tout abus dans la libre circulation</w:t>
      </w:r>
      <w:r w:rsidR="00A17DAB" w:rsidRPr="000E78B7">
        <w:t xml:space="preserve"> </w:t>
      </w:r>
      <w:r w:rsidR="00A17DAB">
        <w:t>des personnes</w:t>
      </w:r>
      <w:r>
        <w:t xml:space="preserve"> </w:t>
      </w:r>
      <w:r w:rsidR="00A17DAB">
        <w:t xml:space="preserve">et </w:t>
      </w:r>
      <w:r w:rsidR="00A90FEF">
        <w:t>comme un facteur d</w:t>
      </w:r>
      <w:r w:rsidR="005775D7">
        <w:t>’</w:t>
      </w:r>
      <w:r w:rsidR="00AD02F8">
        <w:t>accroissement</w:t>
      </w:r>
      <w:r w:rsidR="00A90FEF">
        <w:t xml:space="preserve"> de </w:t>
      </w:r>
      <w:r w:rsidR="00AD02F8">
        <w:t>la sphère d</w:t>
      </w:r>
      <w:r w:rsidR="005775D7">
        <w:t>’</w:t>
      </w:r>
      <w:r w:rsidR="00A90FEF">
        <w:t>autorité des</w:t>
      </w:r>
      <w:r w:rsidR="00AD02F8">
        <w:t xml:space="preserve"> actes des</w:t>
      </w:r>
      <w:r w:rsidR="00A90FEF">
        <w:t xml:space="preserve"> Etats membres</w:t>
      </w:r>
      <w:r w:rsidR="00A17DAB">
        <w:rPr>
          <w:rStyle w:val="Appelnotedebasdep"/>
        </w:rPr>
        <w:footnoteReference w:id="56"/>
      </w:r>
      <w:r w:rsidR="00A90FEF">
        <w:t xml:space="preserve">. </w:t>
      </w:r>
    </w:p>
    <w:p w14:paraId="099267C6" w14:textId="06996E0F" w:rsidR="00A17DAB" w:rsidRDefault="00A57F13" w:rsidP="000541CA">
      <w:r>
        <w:t xml:space="preserve">Conçues pour </w:t>
      </w:r>
      <w:r w:rsidR="00737334">
        <w:t>entrainer</w:t>
      </w:r>
      <w:r>
        <w:t xml:space="preserve"> une exécution automatique des décisions nationales par-delà les ordres juridiques</w:t>
      </w:r>
      <w:r w:rsidR="00737334">
        <w:t xml:space="preserve"> et compenser ainsi la rupture introduite par la construction européenne dans le principe de territorialité du droit</w:t>
      </w:r>
      <w:r>
        <w:t xml:space="preserve">, les règles fondées sur la reconnaissance mutuelle </w:t>
      </w:r>
      <w:r w:rsidR="00737334">
        <w:lastRenderedPageBreak/>
        <w:t>poursuivent</w:t>
      </w:r>
      <w:r>
        <w:t xml:space="preserve"> donc la sauvegarde des intérêts étatiques</w:t>
      </w:r>
      <w:r w:rsidR="00737334" w:rsidRPr="00737334">
        <w:t xml:space="preserve"> </w:t>
      </w:r>
      <w:r w:rsidR="00737334">
        <w:t>au sein de l’ELSJ</w:t>
      </w:r>
      <w:r w:rsidR="00A17DAB" w:rsidRPr="00A17DAB">
        <w:rPr>
          <w:vertAlign w:val="superscript"/>
        </w:rPr>
        <w:footnoteReference w:id="57"/>
      </w:r>
      <w:r w:rsidR="00A17DAB" w:rsidRPr="00A17DAB">
        <w:t xml:space="preserve">. </w:t>
      </w:r>
      <w:r w:rsidR="00737334">
        <w:t>Si d</w:t>
      </w:r>
      <w:r w:rsidR="00814E51">
        <w:t xml:space="preserve">ans ces </w:t>
      </w:r>
      <w:r w:rsidR="00A90FEF">
        <w:t xml:space="preserve">hypothèses de </w:t>
      </w:r>
      <w:r w:rsidR="00E466D4">
        <w:t>« circulation des situations »</w:t>
      </w:r>
      <w:r w:rsidR="00A90FEF">
        <w:t>, l</w:t>
      </w:r>
      <w:r w:rsidR="005775D7">
        <w:t>’</w:t>
      </w:r>
      <w:r w:rsidR="00A90FEF">
        <w:t>application du droit dans l</w:t>
      </w:r>
      <w:r w:rsidR="005775D7">
        <w:t>’</w:t>
      </w:r>
      <w:r w:rsidR="00A90FEF">
        <w:t>Etat d</w:t>
      </w:r>
      <w:r w:rsidR="005775D7">
        <w:t>’</w:t>
      </w:r>
      <w:r w:rsidR="00A90FEF">
        <w:t xml:space="preserve">accueil est </w:t>
      </w:r>
      <w:r w:rsidR="00A17DAB">
        <w:t>toujours</w:t>
      </w:r>
      <w:r w:rsidR="00A90FEF">
        <w:t xml:space="preserve"> « contrainte »</w:t>
      </w:r>
      <w:r w:rsidR="00814E51">
        <w:rPr>
          <w:rStyle w:val="Appelnotedebasdep"/>
        </w:rPr>
        <w:footnoteReference w:id="58"/>
      </w:r>
      <w:r w:rsidR="00F20350">
        <w:t>, c</w:t>
      </w:r>
      <w:r w:rsidR="005775D7">
        <w:t>’</w:t>
      </w:r>
      <w:r w:rsidR="00F20350">
        <w:t>est</w:t>
      </w:r>
      <w:r w:rsidR="00F77457">
        <w:t xml:space="preserve"> </w:t>
      </w:r>
      <w:r w:rsidR="00814E51">
        <w:t>bien</w:t>
      </w:r>
      <w:r w:rsidR="00F20350">
        <w:t xml:space="preserve"> en raison du déploiement des effets du droit de l</w:t>
      </w:r>
      <w:r w:rsidR="005775D7">
        <w:t>’</w:t>
      </w:r>
      <w:r w:rsidR="00F20350">
        <w:t>Etat d</w:t>
      </w:r>
      <w:r w:rsidR="005775D7">
        <w:t>’</w:t>
      </w:r>
      <w:r w:rsidR="000541CA">
        <w:t xml:space="preserve">origine. </w:t>
      </w:r>
      <w:r w:rsidR="00814E51">
        <w:t>E</w:t>
      </w:r>
      <w:r w:rsidR="00F20350">
        <w:t xml:space="preserve">n réalité, </w:t>
      </w:r>
      <w:r w:rsidR="000541CA">
        <w:t>s</w:t>
      </w:r>
      <w:r w:rsidR="005775D7">
        <w:t>’</w:t>
      </w:r>
      <w:r w:rsidR="00274ACE" w:rsidRPr="00A17DAB">
        <w:t>opère autour de l</w:t>
      </w:r>
      <w:r w:rsidR="005775D7">
        <w:t>’</w:t>
      </w:r>
      <w:r w:rsidR="00274ACE" w:rsidRPr="00A17DAB">
        <w:t>abolition des frontières une forme de « </w:t>
      </w:r>
      <w:r w:rsidR="00274ACE" w:rsidRPr="00274ACE">
        <w:t>symbiose</w:t>
      </w:r>
      <w:r w:rsidR="00274ACE" w:rsidRPr="00A17DAB">
        <w:t> »</w:t>
      </w:r>
      <w:r w:rsidR="00274ACE" w:rsidRPr="00A17DAB">
        <w:rPr>
          <w:vertAlign w:val="superscript"/>
        </w:rPr>
        <w:footnoteReference w:id="59"/>
      </w:r>
      <w:r w:rsidR="00274ACE" w:rsidRPr="00A17DAB">
        <w:t xml:space="preserve"> entre, d</w:t>
      </w:r>
      <w:r w:rsidR="005775D7">
        <w:t>’</w:t>
      </w:r>
      <w:r w:rsidR="00274ACE" w:rsidRPr="00A17DAB">
        <w:t>une part, les intérêts subjectifs des individus</w:t>
      </w:r>
      <w:r w:rsidR="007C7D05">
        <w:t>,</w:t>
      </w:r>
      <w:r w:rsidR="00274ACE" w:rsidRPr="00A17DAB">
        <w:t xml:space="preserve"> qui peuvent </w:t>
      </w:r>
      <w:r w:rsidR="00362F52">
        <w:t xml:space="preserve">par exemple </w:t>
      </w:r>
      <w:r w:rsidR="00274ACE" w:rsidRPr="00A17DAB">
        <w:t>tirer parti de l</w:t>
      </w:r>
      <w:r w:rsidR="005775D7">
        <w:t>’</w:t>
      </w:r>
      <w:r w:rsidR="00274ACE" w:rsidRPr="00A17DAB">
        <w:t>exécution facilitée des décisions qui les concernes</w:t>
      </w:r>
      <w:r w:rsidR="00274ACE" w:rsidRPr="00A17DAB">
        <w:rPr>
          <w:vertAlign w:val="superscript"/>
        </w:rPr>
        <w:footnoteReference w:id="60"/>
      </w:r>
      <w:r w:rsidR="00274ACE" w:rsidRPr="00A17DAB">
        <w:t>, et, d</w:t>
      </w:r>
      <w:r w:rsidR="005775D7">
        <w:t>’</w:t>
      </w:r>
      <w:r w:rsidR="00274ACE" w:rsidRPr="00A17DAB">
        <w:t xml:space="preserve">autre part, les intérêts </w:t>
      </w:r>
      <w:r w:rsidR="00362F52">
        <w:t xml:space="preserve">plus </w:t>
      </w:r>
      <w:r w:rsidR="00274ACE" w:rsidRPr="00A17DAB">
        <w:t xml:space="preserve">objectifs poursuivis </w:t>
      </w:r>
      <w:r w:rsidR="000541CA">
        <w:t>par chacun des Etats – tous deux entrant en opposition avec l’Etat contraint par le principe de reconnaissance mutuelle.</w:t>
      </w:r>
    </w:p>
    <w:p w14:paraId="5A6C58AA" w14:textId="2DBC77B6" w:rsidR="00A17DAB" w:rsidRPr="009A7D04" w:rsidRDefault="000541CA" w:rsidP="009A7D04">
      <w:pPr>
        <w:rPr>
          <w:spacing w:val="-2"/>
        </w:rPr>
      </w:pPr>
      <w:r>
        <w:t>Même si elle n’est pas intrinsèquement une forme de dérégulation, la reconnaissance mutuelle est donc source de difficulté pour les Etats requis et l</w:t>
      </w:r>
      <w:r w:rsidR="00274ACE">
        <w:t>a</w:t>
      </w:r>
      <w:r w:rsidR="00A17DAB">
        <w:t xml:space="preserve"> poursuite de l</w:t>
      </w:r>
      <w:r w:rsidR="005775D7">
        <w:t>’</w:t>
      </w:r>
      <w:r w:rsidR="00A17DAB">
        <w:t xml:space="preserve">effectivité des décisions étatiques </w:t>
      </w:r>
      <w:r>
        <w:t xml:space="preserve">transnationales soulève une importante question </w:t>
      </w:r>
      <w:r w:rsidR="00A17DAB">
        <w:t>d</w:t>
      </w:r>
      <w:r w:rsidR="005775D7">
        <w:t>’</w:t>
      </w:r>
      <w:r w:rsidR="00A17DAB">
        <w:t>équilibre. Comme l</w:t>
      </w:r>
      <w:r w:rsidR="005775D7">
        <w:t>’</w:t>
      </w:r>
      <w:r w:rsidR="00A17DAB">
        <w:t xml:space="preserve">observe très justement </w:t>
      </w:r>
      <w:proofErr w:type="spellStart"/>
      <w:r w:rsidR="00A17DAB">
        <w:t>Valsamis</w:t>
      </w:r>
      <w:proofErr w:type="spellEnd"/>
      <w:r w:rsidR="00A17DAB">
        <w:t xml:space="preserve"> </w:t>
      </w:r>
      <w:proofErr w:type="spellStart"/>
      <w:r w:rsidR="00A17DAB">
        <w:t>Mitsilegas</w:t>
      </w:r>
      <w:proofErr w:type="spellEnd"/>
      <w:r w:rsidR="00A17DAB">
        <w:t>, il n</w:t>
      </w:r>
      <w:r w:rsidR="005775D7">
        <w:t>’</w:t>
      </w:r>
      <w:r w:rsidR="00A17DAB">
        <w:t>est pas certain que la promotion d</w:t>
      </w:r>
      <w:r w:rsidR="005775D7">
        <w:t>’</w:t>
      </w:r>
      <w:r w:rsidR="00A17DAB">
        <w:t xml:space="preserve">une coopération </w:t>
      </w:r>
      <w:r w:rsidR="00A17DAB" w:rsidRPr="00274ACE">
        <w:t>absolument « automatique », fondée sur une confiance mutuelle « aveugle », soit pleinement compatible avec les objectifs poursuivis par l</w:t>
      </w:r>
      <w:r w:rsidR="005775D7">
        <w:t>’</w:t>
      </w:r>
      <w:r w:rsidR="00A17DAB" w:rsidRPr="00274ACE">
        <w:t>établissement de l</w:t>
      </w:r>
      <w:r w:rsidR="005775D7">
        <w:t>’</w:t>
      </w:r>
      <w:r w:rsidR="00A17DAB" w:rsidRPr="00274ACE">
        <w:t>EL</w:t>
      </w:r>
      <w:r>
        <w:t>SJ, ni plus largement avec « le </w:t>
      </w:r>
      <w:r w:rsidR="00A17DAB" w:rsidRPr="00274ACE">
        <w:t>développement d</w:t>
      </w:r>
      <w:r w:rsidR="005775D7">
        <w:t>’</w:t>
      </w:r>
      <w:r w:rsidR="00A17DAB" w:rsidRPr="00274ACE">
        <w:t>une Union européenne basée sur le respect des droits fondamentaux </w:t>
      </w:r>
      <w:r w:rsidR="00A17DAB">
        <w:t>»</w:t>
      </w:r>
      <w:r w:rsidR="00A17DAB">
        <w:rPr>
          <w:rStyle w:val="Appelnotedebasdep"/>
        </w:rPr>
        <w:footnoteReference w:id="61"/>
      </w:r>
      <w:r>
        <w:t>. Il </w:t>
      </w:r>
      <w:r w:rsidR="00A17DAB">
        <w:t>n</w:t>
      </w:r>
      <w:r w:rsidR="005775D7">
        <w:t>’</w:t>
      </w:r>
      <w:r w:rsidR="00A17DAB">
        <w:t>est pas certain non plus que</w:t>
      </w:r>
      <w:r w:rsidR="00362F52">
        <w:t xml:space="preserve"> la conception par les Etats de leur </w:t>
      </w:r>
      <w:r w:rsidR="00274ACE">
        <w:t>i</w:t>
      </w:r>
      <w:r w:rsidR="00A17DAB">
        <w:t>ntérêt</w:t>
      </w:r>
      <w:r w:rsidR="00362F52">
        <w:t xml:space="preserve"> soi</w:t>
      </w:r>
      <w:r w:rsidR="00A17DAB">
        <w:t xml:space="preserve">t </w:t>
      </w:r>
      <w:r w:rsidR="00362F52">
        <w:t>toujours convergente</w:t>
      </w:r>
      <w:r w:rsidR="00A17DAB">
        <w:t>, en raison</w:t>
      </w:r>
      <w:r w:rsidR="00274ACE">
        <w:t xml:space="preserve"> notamment</w:t>
      </w:r>
      <w:r w:rsidR="00A17DAB">
        <w:t xml:space="preserve"> des </w:t>
      </w:r>
      <w:r w:rsidR="00274ACE">
        <w:t>différences</w:t>
      </w:r>
      <w:r w:rsidR="00A17DAB">
        <w:t xml:space="preserve"> possibles dans l</w:t>
      </w:r>
      <w:r w:rsidR="005775D7">
        <w:t>’</w:t>
      </w:r>
      <w:r w:rsidR="00A17DAB">
        <w:t xml:space="preserve">attachement que chacun porte aux </w:t>
      </w:r>
      <w:r w:rsidR="00274ACE">
        <w:t>droits et libertés fondamentaux</w:t>
      </w:r>
      <w:r w:rsidR="00A17DAB">
        <w:t xml:space="preserve">. </w:t>
      </w:r>
      <w:r w:rsidR="00362F52">
        <w:t>C</w:t>
      </w:r>
      <w:r w:rsidR="005775D7">
        <w:t>’</w:t>
      </w:r>
      <w:r w:rsidR="008944C3">
        <w:t>est pourquoi la reconnaissance mutuelle connaît</w:t>
      </w:r>
      <w:r w:rsidR="00362F52">
        <w:t xml:space="preserve"> </w:t>
      </w:r>
      <w:r w:rsidR="00362F52">
        <w:lastRenderedPageBreak/>
        <w:t>nécessairement</w:t>
      </w:r>
      <w:r w:rsidR="008944C3">
        <w:t xml:space="preserve"> </w:t>
      </w:r>
      <w:r>
        <w:t xml:space="preserve">des </w:t>
      </w:r>
      <w:r w:rsidR="008944C3">
        <w:t xml:space="preserve">limites et </w:t>
      </w:r>
      <w:r>
        <w:t xml:space="preserve">des </w:t>
      </w:r>
      <w:r w:rsidR="008944C3">
        <w:t>exceptions</w:t>
      </w:r>
      <w:r w:rsidR="00BA5CDA">
        <w:rPr>
          <w:rStyle w:val="Appelnotedebasdep"/>
        </w:rPr>
        <w:footnoteReference w:id="62"/>
      </w:r>
      <w:r w:rsidR="008944C3">
        <w:t xml:space="preserve">. </w:t>
      </w:r>
      <w:r w:rsidR="00A17DAB" w:rsidRPr="00D36E29">
        <w:t>A</w:t>
      </w:r>
      <w:r w:rsidR="008944C3" w:rsidRPr="00D36E29">
        <w:t>pparaît ainsi, à</w:t>
      </w:r>
      <w:r w:rsidRPr="00D36E29">
        <w:t xml:space="preserve"> travers cette exigence </w:t>
      </w:r>
      <w:r w:rsidR="00A17DAB" w:rsidRPr="00D36E29">
        <w:t>d</w:t>
      </w:r>
      <w:r w:rsidR="005775D7" w:rsidRPr="00D36E29">
        <w:t>’</w:t>
      </w:r>
      <w:r w:rsidR="00A17DAB" w:rsidRPr="00D36E29">
        <w:t xml:space="preserve">équilibre, </w:t>
      </w:r>
      <w:r w:rsidR="00362F52" w:rsidRPr="00D36E29">
        <w:t>la signification profonde</w:t>
      </w:r>
      <w:r w:rsidR="00A17DAB" w:rsidRPr="00D36E29">
        <w:t xml:space="preserve"> du principe de reconnaissance mutuelle au sein du </w:t>
      </w:r>
      <w:r w:rsidR="00A17DAB" w:rsidRPr="00D36E29">
        <w:rPr>
          <w:spacing w:val="-2"/>
        </w:rPr>
        <w:t xml:space="preserve">système juridique </w:t>
      </w:r>
      <w:r w:rsidR="008944C3" w:rsidRPr="00D36E29">
        <w:rPr>
          <w:spacing w:val="-2"/>
        </w:rPr>
        <w:t>européen </w:t>
      </w:r>
      <w:r w:rsidR="00A17DAB" w:rsidRPr="00D36E29">
        <w:rPr>
          <w:spacing w:val="-2"/>
        </w:rPr>
        <w:t xml:space="preserve">: celui-ci met en effet en jeu </w:t>
      </w:r>
      <w:r w:rsidRPr="00D36E29">
        <w:rPr>
          <w:spacing w:val="-2"/>
        </w:rPr>
        <w:t>l’</w:t>
      </w:r>
      <w:r w:rsidR="007C7D05" w:rsidRPr="00D36E29">
        <w:rPr>
          <w:spacing w:val="-2"/>
        </w:rPr>
        <w:t>identité constitutionnelle</w:t>
      </w:r>
      <w:r w:rsidR="00E14C52" w:rsidRPr="00D36E29">
        <w:rPr>
          <w:spacing w:val="-2"/>
        </w:rPr>
        <w:t xml:space="preserve"> de l’Union</w:t>
      </w:r>
      <w:r w:rsidR="009A7D04" w:rsidRPr="00D36E29">
        <w:rPr>
          <w:spacing w:val="-2"/>
        </w:rPr>
        <w:t>.</w:t>
      </w:r>
    </w:p>
    <w:p w14:paraId="12AFC81E" w14:textId="3A00286C" w:rsidR="00655EA1" w:rsidRDefault="0064465B" w:rsidP="00655EA1">
      <w:r>
        <w:t>Pour</w:t>
      </w:r>
      <w:r w:rsidR="008944C3">
        <w:t xml:space="preserve"> mieux</w:t>
      </w:r>
      <w:r>
        <w:t xml:space="preserve"> </w:t>
      </w:r>
      <w:r w:rsidR="007C7D05">
        <w:t xml:space="preserve">le comprendre, il </w:t>
      </w:r>
      <w:r w:rsidR="00362F52">
        <w:t xml:space="preserve">faut </w:t>
      </w:r>
      <w:r>
        <w:t xml:space="preserve">sortir </w:t>
      </w:r>
      <w:r w:rsidR="007C7D05">
        <w:t>du</w:t>
      </w:r>
      <w:r>
        <w:t xml:space="preserve"> relativi</w:t>
      </w:r>
      <w:r w:rsidR="007C7D05">
        <w:t xml:space="preserve">sme </w:t>
      </w:r>
      <w:r w:rsidR="00E14C52">
        <w:t>propre au</w:t>
      </w:r>
      <w:r w:rsidR="007C7D05">
        <w:t xml:space="preserve"> point de vue</w:t>
      </w:r>
      <w:r w:rsidR="00E14C52">
        <w:t xml:space="preserve"> horizontal</w:t>
      </w:r>
      <w:r w:rsidR="007C7D05">
        <w:t xml:space="preserve"> de l</w:t>
      </w:r>
      <w:r w:rsidR="005775D7">
        <w:t>’</w:t>
      </w:r>
      <w:r w:rsidR="007C7D05">
        <w:t>individu ou de l</w:t>
      </w:r>
      <w:r w:rsidR="005775D7">
        <w:t>’</w:t>
      </w:r>
      <w:r w:rsidR="007C7D05">
        <w:t>autorité étatique</w:t>
      </w:r>
      <w:r w:rsidR="00E14C52">
        <w:t xml:space="preserve">, il faut </w:t>
      </w:r>
      <w:r w:rsidR="00F20350">
        <w:t>décentre</w:t>
      </w:r>
      <w:r w:rsidR="00A24887">
        <w:t>r l</w:t>
      </w:r>
      <w:r w:rsidR="005775D7">
        <w:t>’</w:t>
      </w:r>
      <w:r w:rsidR="00A24887">
        <w:t>analyse et</w:t>
      </w:r>
      <w:r w:rsidR="008944C3">
        <w:t xml:space="preserve"> de</w:t>
      </w:r>
      <w:r w:rsidR="00A24887">
        <w:t xml:space="preserve"> changer d</w:t>
      </w:r>
      <w:r w:rsidR="005775D7">
        <w:t>’</w:t>
      </w:r>
      <w:r w:rsidR="00A24887">
        <w:t>échelle</w:t>
      </w:r>
      <w:r w:rsidR="007C7D05">
        <w:t xml:space="preserve">. </w:t>
      </w:r>
      <w:r w:rsidR="00E14C52">
        <w:t>C’est e</w:t>
      </w:r>
      <w:r w:rsidR="007C7D05">
        <w:t>n adoptant le prisme européen</w:t>
      </w:r>
      <w:r w:rsidR="00362F52">
        <w:t>,</w:t>
      </w:r>
      <w:r w:rsidR="007C7D05">
        <w:t xml:space="preserve"> </w:t>
      </w:r>
      <w:r w:rsidR="00E14C52">
        <w:t xml:space="preserve">que </w:t>
      </w:r>
      <w:r w:rsidR="00F20350">
        <w:t xml:space="preserve">la reconnaissance mutuelle révèle </w:t>
      </w:r>
      <w:r w:rsidR="00E14C52">
        <w:t>sa</w:t>
      </w:r>
      <w:r w:rsidR="00F20350">
        <w:t xml:space="preserve"> portée systématique et</w:t>
      </w:r>
      <w:r w:rsidR="007C7D05">
        <w:t xml:space="preserve"> </w:t>
      </w:r>
      <w:r w:rsidR="00E14C52">
        <w:t xml:space="preserve">que </w:t>
      </w:r>
      <w:r w:rsidR="00F20350">
        <w:t>l</w:t>
      </w:r>
      <w:r w:rsidR="005775D7">
        <w:t>’</w:t>
      </w:r>
      <w:r w:rsidR="00F20350">
        <w:t xml:space="preserve">on retrouve ainsi la dimension constitutive </w:t>
      </w:r>
      <w:r w:rsidR="005126C9">
        <w:t>introduite</w:t>
      </w:r>
      <w:r w:rsidR="00E14C52">
        <w:t xml:space="preserve"> par</w:t>
      </w:r>
      <w:r w:rsidR="00AD02F8">
        <w:t xml:space="preserve"> l</w:t>
      </w:r>
      <w:r w:rsidR="005775D7">
        <w:t>’</w:t>
      </w:r>
      <w:r w:rsidR="00AD02F8">
        <w:t>approche</w:t>
      </w:r>
      <w:r w:rsidR="00F20350">
        <w:t xml:space="preserve"> philosophique.</w:t>
      </w:r>
    </w:p>
    <w:p w14:paraId="544178CC" w14:textId="03CE262E" w:rsidR="003F61AD" w:rsidRDefault="005126C9" w:rsidP="00C66F63">
      <w:r>
        <w:t xml:space="preserve">La portée de la </w:t>
      </w:r>
      <w:r w:rsidR="00600DA6" w:rsidRPr="00266FF1">
        <w:t xml:space="preserve">reconnaissance mutuelle </w:t>
      </w:r>
      <w:r>
        <w:t xml:space="preserve">rejoint ici celle de la confiance mutuelle, récemment promue </w:t>
      </w:r>
      <w:r w:rsidR="008C00A1" w:rsidRPr="00266FF1">
        <w:t>au r</w:t>
      </w:r>
      <w:r w:rsidR="008C00A1">
        <w:t>ang de valeur constitutionnelle</w:t>
      </w:r>
      <w:r w:rsidR="00D314F6">
        <w:t xml:space="preserve"> par l</w:t>
      </w:r>
      <w:r w:rsidR="005775D7">
        <w:t>’</w:t>
      </w:r>
      <w:r w:rsidR="008C00A1" w:rsidRPr="008C00A1">
        <w:t>avis</w:t>
      </w:r>
      <w:r w:rsidR="008C00A1">
        <w:t> </w:t>
      </w:r>
      <w:r w:rsidR="008C00A1" w:rsidRPr="008C00A1">
        <w:t>2</w:t>
      </w:r>
      <w:r w:rsidR="008C00A1">
        <w:t>/13</w:t>
      </w:r>
      <w:r w:rsidR="00B526DE">
        <w:rPr>
          <w:rStyle w:val="Appelnotedebasdep"/>
        </w:rPr>
        <w:footnoteReference w:id="63"/>
      </w:r>
      <w:r w:rsidR="003F61AD">
        <w:t>. Au soutien de sa décision, la Cour de justice n</w:t>
      </w:r>
      <w:r w:rsidR="005775D7">
        <w:t>’</w:t>
      </w:r>
      <w:r w:rsidR="003F61AD">
        <w:t>a pas hésité à solliciter les éléments de la Charte constitutionnelle de l</w:t>
      </w:r>
      <w:r w:rsidR="005775D7">
        <w:t>’</w:t>
      </w:r>
      <w:r w:rsidR="003F61AD">
        <w:t>Union européenne</w:t>
      </w:r>
      <w:r w:rsidR="003F61AD" w:rsidRPr="0012654F">
        <w:t>.</w:t>
      </w:r>
      <w:r w:rsidR="003F61AD">
        <w:t xml:space="preserve"> L</w:t>
      </w:r>
      <w:r w:rsidR="005775D7">
        <w:t>’</w:t>
      </w:r>
      <w:r w:rsidR="002D1D00">
        <w:t>autonomie, la </w:t>
      </w:r>
      <w:r w:rsidR="003F61AD">
        <w:t>primauté, et l</w:t>
      </w:r>
      <w:r w:rsidR="005775D7">
        <w:t>’</w:t>
      </w:r>
      <w:r w:rsidR="003F61AD">
        <w:t>effet direct sont ainsi convoqués pour faire barrage au projet d</w:t>
      </w:r>
      <w:r w:rsidR="005775D7">
        <w:t>’</w:t>
      </w:r>
      <w:r w:rsidR="003F61AD">
        <w:t>accord, en tant que</w:t>
      </w:r>
      <w:r w:rsidR="003F61AD" w:rsidRPr="00BA046E">
        <w:rPr>
          <w:spacing w:val="-2"/>
        </w:rPr>
        <w:t xml:space="preserve"> « caractéristiques essentielles du droit de l</w:t>
      </w:r>
      <w:r w:rsidR="005775D7">
        <w:rPr>
          <w:spacing w:val="-2"/>
        </w:rPr>
        <w:t>’</w:t>
      </w:r>
      <w:r w:rsidR="003F61AD" w:rsidRPr="00BA046E">
        <w:rPr>
          <w:spacing w:val="-2"/>
        </w:rPr>
        <w:t>Union [qui] ont donné lieu à un réseau structuré de principes, de règles et de relations juridiques mutuellement interdépendantes liant, réciproquement, l</w:t>
      </w:r>
      <w:r w:rsidR="005775D7">
        <w:rPr>
          <w:spacing w:val="-2"/>
        </w:rPr>
        <w:t>’</w:t>
      </w:r>
      <w:r w:rsidR="003F61AD" w:rsidRPr="00BA046E">
        <w:rPr>
          <w:spacing w:val="-2"/>
        </w:rPr>
        <w:t>Union elle-même et ses États membres, ainsi que ceux-ci entre eux »</w:t>
      </w:r>
      <w:r w:rsidR="003F61AD" w:rsidRPr="00BA046E">
        <w:rPr>
          <w:rStyle w:val="Appelnotedebasdep"/>
          <w:spacing w:val="-2"/>
        </w:rPr>
        <w:footnoteReference w:id="64"/>
      </w:r>
      <w:r w:rsidR="003F61AD" w:rsidRPr="00BA046E">
        <w:rPr>
          <w:spacing w:val="-2"/>
        </w:rPr>
        <w:t>.</w:t>
      </w:r>
      <w:r w:rsidR="00BA046E">
        <w:t xml:space="preserve"> A </w:t>
      </w:r>
      <w:r w:rsidR="003F61AD">
        <w:t>travers cette motivation, la Cour entendait donc invoquer les structures constitutionnelles de l</w:t>
      </w:r>
      <w:r w:rsidR="005775D7">
        <w:t>’</w:t>
      </w:r>
      <w:r w:rsidR="003F61AD">
        <w:t>ordre juridique de l</w:t>
      </w:r>
      <w:r w:rsidR="005775D7">
        <w:t>’</w:t>
      </w:r>
      <w:r w:rsidR="003F61AD">
        <w:t>Union, c</w:t>
      </w:r>
      <w:r w:rsidR="005775D7">
        <w:t>’</w:t>
      </w:r>
      <w:r w:rsidR="003F61AD">
        <w:t>est-à-dire les élém</w:t>
      </w:r>
      <w:r w:rsidR="00C66F63">
        <w:t>ents de son identité juridique, et elle a placé à ce titre la confiance mutuelle au cœur du</w:t>
      </w:r>
      <w:r w:rsidR="00C66F63" w:rsidRPr="00266FF1">
        <w:t xml:space="preserve"> « processus créant une union</w:t>
      </w:r>
      <w:r w:rsidR="00C66F63">
        <w:t xml:space="preserve"> [juridique]</w:t>
      </w:r>
      <w:r w:rsidR="00C66F63" w:rsidRPr="00266FF1">
        <w:t xml:space="preserve"> sans cesse</w:t>
      </w:r>
      <w:r w:rsidR="00C66F63">
        <w:t xml:space="preserve"> plus étroite entre les peuples </w:t>
      </w:r>
      <w:r w:rsidR="00C66F63" w:rsidRPr="00266FF1">
        <w:t>»</w:t>
      </w:r>
      <w:r w:rsidR="00B526DE" w:rsidRPr="00D314F6">
        <w:rPr>
          <w:rStyle w:val="Appelnotedebasdep"/>
        </w:rPr>
        <w:footnoteReference w:id="65"/>
      </w:r>
      <w:r w:rsidR="00BA046E">
        <w:t>.</w:t>
      </w:r>
    </w:p>
    <w:p w14:paraId="6FCABD28" w14:textId="53E64441" w:rsidR="009B06F4" w:rsidRDefault="002D1D00" w:rsidP="00EE7A54">
      <w:r>
        <w:t>Or, b</w:t>
      </w:r>
      <w:r w:rsidR="00D314F6">
        <w:t>ien qu</w:t>
      </w:r>
      <w:r w:rsidR="005775D7">
        <w:t>’</w:t>
      </w:r>
      <w:r w:rsidR="00D314F6">
        <w:t xml:space="preserve">elle soit absente de </w:t>
      </w:r>
      <w:r w:rsidR="0064465B">
        <w:t>la motivation retenue dans cette espèce</w:t>
      </w:r>
      <w:r w:rsidR="00D314F6">
        <w:t>, la reconnaissance mutuelle apparaît comme le principe fonctionnel d</w:t>
      </w:r>
      <w:r w:rsidR="005775D7">
        <w:t>’</w:t>
      </w:r>
      <w:r w:rsidR="00D314F6">
        <w:t>une confiance</w:t>
      </w:r>
      <w:r w:rsidR="0064465B">
        <w:t xml:space="preserve"> mutuelle</w:t>
      </w:r>
      <w:r w:rsidR="004523CB">
        <w:t>,</w:t>
      </w:r>
      <w:r w:rsidR="00D314F6">
        <w:t xml:space="preserve"> dont l</w:t>
      </w:r>
      <w:r w:rsidR="005775D7">
        <w:t>’</w:t>
      </w:r>
      <w:r w:rsidR="00D314F6">
        <w:t>importance</w:t>
      </w:r>
      <w:r w:rsidR="0064465B">
        <w:t xml:space="preserve"> pour la réalisation du projet européen</w:t>
      </w:r>
      <w:r w:rsidR="004523CB">
        <w:t xml:space="preserve"> et le fonctionnement d</w:t>
      </w:r>
      <w:r w:rsidR="003F61AD">
        <w:t>e son système juridique</w:t>
      </w:r>
      <w:r w:rsidR="004523CB" w:rsidRPr="004523CB">
        <w:t xml:space="preserve"> </w:t>
      </w:r>
      <w:r w:rsidR="004523CB">
        <w:t xml:space="preserve">est </w:t>
      </w:r>
      <w:r w:rsidR="00362F52">
        <w:t>désormais clairement</w:t>
      </w:r>
      <w:r w:rsidR="004523CB">
        <w:t xml:space="preserve"> soulignée</w:t>
      </w:r>
      <w:r w:rsidR="009B06F4">
        <w:t xml:space="preserve">. </w:t>
      </w:r>
      <w:r w:rsidR="0064465B">
        <w:t xml:space="preserve">Toutes deux – soit en tant que valeur, soit en tant que </w:t>
      </w:r>
      <w:r w:rsidR="0064465B">
        <w:lastRenderedPageBreak/>
        <w:t>mécanisme d</w:t>
      </w:r>
      <w:r w:rsidR="005775D7">
        <w:t>’</w:t>
      </w:r>
      <w:r w:rsidR="0064465B">
        <w:t>application du droit – po</w:t>
      </w:r>
      <w:r w:rsidR="00600DA6">
        <w:t xml:space="preserve">ursuivent </w:t>
      </w:r>
      <w:r w:rsidR="00C66F63">
        <w:t xml:space="preserve">en effet </w:t>
      </w:r>
      <w:r w:rsidR="0064465B">
        <w:t>moins l</w:t>
      </w:r>
      <w:r w:rsidR="005775D7">
        <w:t>’</w:t>
      </w:r>
      <w:r w:rsidR="0064465B">
        <w:t>intérêt spécifique de</w:t>
      </w:r>
      <w:r w:rsidR="00600DA6">
        <w:t xml:space="preserve">s bénéficiaires directs </w:t>
      </w:r>
      <w:r w:rsidR="0064465B">
        <w:t>ou d</w:t>
      </w:r>
      <w:r w:rsidR="009B06F4">
        <w:t xml:space="preserve">es sujets contraints </w:t>
      </w:r>
      <w:r w:rsidR="00600DA6">
        <w:t xml:space="preserve">de la liberté de </w:t>
      </w:r>
      <w:r w:rsidR="00600DA6" w:rsidRPr="00362F52">
        <w:t>circul</w:t>
      </w:r>
      <w:r w:rsidR="009B06F4" w:rsidRPr="00362F52">
        <w:t>er</w:t>
      </w:r>
      <w:r w:rsidR="009B0BFE">
        <w:t>,</w:t>
      </w:r>
      <w:r w:rsidR="00552734">
        <w:t xml:space="preserve"> que</w:t>
      </w:r>
      <w:r w:rsidR="0064465B">
        <w:t xml:space="preserve"> </w:t>
      </w:r>
      <w:r w:rsidR="00600DA6">
        <w:t>la construction d</w:t>
      </w:r>
      <w:r w:rsidR="005775D7">
        <w:t>’</w:t>
      </w:r>
      <w:r w:rsidR="00600DA6">
        <w:t xml:space="preserve">un espace </w:t>
      </w:r>
      <w:r>
        <w:t xml:space="preserve">européen </w:t>
      </w:r>
      <w:r w:rsidR="0064465B">
        <w:t>intégré</w:t>
      </w:r>
      <w:r w:rsidR="00552734">
        <w:t>. Ce lien entre ces principes et l</w:t>
      </w:r>
      <w:r w:rsidR="005775D7">
        <w:t>’</w:t>
      </w:r>
      <w:r w:rsidR="00552734">
        <w:t>objectif d</w:t>
      </w:r>
      <w:r w:rsidR="005775D7">
        <w:t>’</w:t>
      </w:r>
      <w:r w:rsidR="00552734">
        <w:t>intégration a d</w:t>
      </w:r>
      <w:r w:rsidR="005775D7">
        <w:t>’</w:t>
      </w:r>
      <w:r w:rsidR="00552734">
        <w:t xml:space="preserve">ailleurs été </w:t>
      </w:r>
      <w:r>
        <w:t>explicité sans ambiguïté</w:t>
      </w:r>
      <w:r w:rsidR="00552734">
        <w:t xml:space="preserve"> par la jurisprudence ultérieure </w:t>
      </w:r>
      <w:r w:rsidR="00D95E57">
        <w:rPr>
          <w:rStyle w:val="Appelnotedebasdep"/>
        </w:rPr>
        <w:footnoteReference w:id="66"/>
      </w:r>
      <w:r w:rsidR="00600DA6">
        <w:t xml:space="preserve">. </w:t>
      </w:r>
    </w:p>
    <w:p w14:paraId="595AF06F" w14:textId="6431A866" w:rsidR="009B0BFE" w:rsidRDefault="007B196E" w:rsidP="00B03EB8">
      <w:r>
        <w:t xml:space="preserve">Vient alors une interrogation essentielle sur la nature de cette confiance et le fonctionnement de la reconnaissance. </w:t>
      </w:r>
      <w:r w:rsidR="000A09DF">
        <w:t>Si</w:t>
      </w:r>
      <w:r w:rsidR="00F77457">
        <w:t xml:space="preserve"> la </w:t>
      </w:r>
      <w:r w:rsidR="00581655" w:rsidRPr="00840D7C">
        <w:t>Cour fonde</w:t>
      </w:r>
      <w:r w:rsidR="00F77457" w:rsidRPr="00840D7C">
        <w:t xml:space="preserve"> </w:t>
      </w:r>
      <w:r w:rsidR="00581655" w:rsidRPr="00840D7C">
        <w:t>la confiance mutuelle sur la « prémisse »</w:t>
      </w:r>
      <w:r w:rsidR="00581655" w:rsidRPr="00840D7C">
        <w:rPr>
          <w:rStyle w:val="Appelnotedebasdep"/>
        </w:rPr>
        <w:footnoteReference w:id="67"/>
      </w:r>
      <w:r w:rsidR="00581655" w:rsidRPr="00840D7C">
        <w:t xml:space="preserve"> selon laquelle les Etats, en leur qualité d</w:t>
      </w:r>
      <w:r w:rsidR="005775D7">
        <w:t>’</w:t>
      </w:r>
      <w:r w:rsidR="00581655" w:rsidRPr="00840D7C">
        <w:t>Etats membres</w:t>
      </w:r>
      <w:r w:rsidR="00D070F6" w:rsidRPr="00840D7C">
        <w:rPr>
          <w:rStyle w:val="Appelnotedebasdep"/>
        </w:rPr>
        <w:footnoteReference w:id="68"/>
      </w:r>
      <w:r w:rsidR="00581655" w:rsidRPr="00840D7C">
        <w:t xml:space="preserve">, respectent </w:t>
      </w:r>
      <w:r w:rsidR="00F77457" w:rsidRPr="00840D7C">
        <w:t>un</w:t>
      </w:r>
      <w:r w:rsidR="00581655" w:rsidRPr="00840D7C">
        <w:t xml:space="preserve"> socle commun de libertés et de valeurs fondamentales</w:t>
      </w:r>
      <w:r w:rsidR="00F77457" w:rsidRPr="00840D7C">
        <w:t>, la constitutionnalisation de cette confiance</w:t>
      </w:r>
      <w:r w:rsidR="00581655" w:rsidRPr="00840D7C">
        <w:t xml:space="preserve"> </w:t>
      </w:r>
      <w:r w:rsidR="00B03EB8" w:rsidRPr="00840D7C">
        <w:t>met l</w:t>
      </w:r>
      <w:r w:rsidR="005775D7">
        <w:t>’</w:t>
      </w:r>
      <w:r w:rsidR="00B03EB8" w:rsidRPr="00840D7C">
        <w:t>Uni</w:t>
      </w:r>
      <w:r w:rsidR="00D070F6" w:rsidRPr="00840D7C">
        <w:t xml:space="preserve">on face à un choix </w:t>
      </w:r>
      <w:r w:rsidR="002C475C" w:rsidRPr="00840D7C">
        <w:t>identitaire</w:t>
      </w:r>
      <w:r w:rsidR="00D070F6" w:rsidRPr="00840D7C">
        <w:t> : implique-t-elle</w:t>
      </w:r>
      <w:r w:rsidR="000A09DF">
        <w:t xml:space="preserve"> ou favorise-t-elle</w:t>
      </w:r>
      <w:r w:rsidR="00D070F6" w:rsidRPr="00840D7C">
        <w:t xml:space="preserve"> l</w:t>
      </w:r>
      <w:r w:rsidR="005775D7">
        <w:t>’</w:t>
      </w:r>
      <w:r w:rsidR="00D070F6" w:rsidRPr="00840D7C">
        <w:t xml:space="preserve">adhésion de </w:t>
      </w:r>
      <w:r w:rsidR="00AC4995" w:rsidRPr="00840D7C">
        <w:t>sa juridiction suprême</w:t>
      </w:r>
      <w:r w:rsidR="00D070F6" w:rsidRPr="00840D7C">
        <w:t xml:space="preserve"> à une conception « réelle » </w:t>
      </w:r>
      <w:r w:rsidR="00AC4995" w:rsidRPr="00840D7C">
        <w:t>et</w:t>
      </w:r>
      <w:r w:rsidR="00D070F6" w:rsidRPr="00840D7C">
        <w:t xml:space="preserve"> réaliste de la confiance mutuelle, ou </w:t>
      </w:r>
      <w:r w:rsidR="00AC4995" w:rsidRPr="00840D7C">
        <w:t xml:space="preserve">bien </w:t>
      </w:r>
      <w:r w:rsidR="00D070F6" w:rsidRPr="00840D7C">
        <w:t>à une conception performative voire théorique</w:t>
      </w:r>
      <w:r w:rsidR="004523CB" w:rsidRPr="00840D7C">
        <w:rPr>
          <w:rStyle w:val="Appelnotedebasdep"/>
        </w:rPr>
        <w:footnoteReference w:id="69"/>
      </w:r>
      <w:r w:rsidR="00D070F6" w:rsidRPr="00840D7C">
        <w:t xml:space="preserve"> ? </w:t>
      </w:r>
      <w:r w:rsidR="004523CB">
        <w:t>La question est d</w:t>
      </w:r>
      <w:r w:rsidR="005775D7">
        <w:t>’</w:t>
      </w:r>
      <w:r w:rsidR="004523CB">
        <w:t>importanc</w:t>
      </w:r>
      <w:r w:rsidR="009B0BFE">
        <w:t xml:space="preserve">e </w:t>
      </w:r>
      <w:r w:rsidR="004523CB">
        <w:t>systémique</w:t>
      </w:r>
      <w:r w:rsidR="00F7712D">
        <w:t>,</w:t>
      </w:r>
      <w:r w:rsidR="004523CB">
        <w:t xml:space="preserve"> </w:t>
      </w:r>
      <w:r w:rsidR="009B0BFE">
        <w:t>parce que le choix opéré se</w:t>
      </w:r>
      <w:r w:rsidR="00B526DE">
        <w:t xml:space="preserve"> répercute sur le f</w:t>
      </w:r>
      <w:r w:rsidR="009B0BFE">
        <w:t>onctionnement concret de l</w:t>
      </w:r>
      <w:r w:rsidR="00B526DE">
        <w:t>a reconnaissance mutuelle</w:t>
      </w:r>
      <w:r w:rsidR="000A09DF">
        <w:t>,</w:t>
      </w:r>
      <w:r w:rsidR="009B0BFE">
        <w:t xml:space="preserve"> </w:t>
      </w:r>
      <w:r w:rsidR="00BE7010">
        <w:t xml:space="preserve">et donc sur la façon dont </w:t>
      </w:r>
      <w:r w:rsidR="00BA5CDA">
        <w:t xml:space="preserve">on construit cet espace commun. </w:t>
      </w:r>
    </w:p>
    <w:p w14:paraId="4B11898A" w14:textId="3249C462" w:rsidR="00581655" w:rsidRPr="005361D6" w:rsidRDefault="002A36E4" w:rsidP="00B03EB8">
      <w:r>
        <w:t>A cet égard</w:t>
      </w:r>
      <w:r w:rsidR="00B03EB8">
        <w:t>, l</w:t>
      </w:r>
      <w:r w:rsidR="005775D7">
        <w:t>’</w:t>
      </w:r>
      <w:r w:rsidR="00B03EB8">
        <w:t>avis 2/13 a soulevé des critiques de la part d</w:t>
      </w:r>
      <w:r w:rsidR="005775D7">
        <w:t>’</w:t>
      </w:r>
      <w:r w:rsidR="00B03EB8">
        <w:t>une doctrine confrontée à une jurisprudence qui semblait jusque-là peu inclin</w:t>
      </w:r>
      <w:r w:rsidR="005361D6">
        <w:t>e à accepter l</w:t>
      </w:r>
      <w:r w:rsidR="005775D7">
        <w:t>’</w:t>
      </w:r>
      <w:r w:rsidR="005361D6">
        <w:t>idée d</w:t>
      </w:r>
      <w:r w:rsidR="005775D7">
        <w:t>’</w:t>
      </w:r>
      <w:r w:rsidR="005361D6">
        <w:t>exception,</w:t>
      </w:r>
      <w:r w:rsidR="000A09DF">
        <w:t xml:space="preserve"> face </w:t>
      </w:r>
      <w:r w:rsidR="005361D6">
        <w:t xml:space="preserve">à </w:t>
      </w:r>
      <w:r w:rsidR="000A09DF">
        <w:t>l</w:t>
      </w:r>
      <w:r w:rsidR="005775D7">
        <w:t>’</w:t>
      </w:r>
      <w:r w:rsidR="000A09DF">
        <w:t>automaticité de la</w:t>
      </w:r>
      <w:r w:rsidR="00B03EB8">
        <w:t xml:space="preserve"> reconnaissance mutuelle dans les domaines ayant fait l</w:t>
      </w:r>
      <w:r w:rsidR="005775D7">
        <w:t>’</w:t>
      </w:r>
      <w:r w:rsidR="00B03EB8">
        <w:t>objet de mesure</w:t>
      </w:r>
      <w:r w:rsidR="00BA046E">
        <w:t>s</w:t>
      </w:r>
      <w:r w:rsidR="00B03EB8">
        <w:t xml:space="preserve"> d</w:t>
      </w:r>
      <w:r w:rsidR="005775D7">
        <w:t>’</w:t>
      </w:r>
      <w:r w:rsidR="00B03EB8">
        <w:t>harmonisation</w:t>
      </w:r>
      <w:r w:rsidR="00AC4995">
        <w:rPr>
          <w:rStyle w:val="Appelnotedebasdep"/>
        </w:rPr>
        <w:footnoteReference w:id="70"/>
      </w:r>
      <w:r w:rsidR="00B03EB8">
        <w:t>. En lui conférant une assise constitutionnel</w:t>
      </w:r>
      <w:r w:rsidR="000A09DF">
        <w:t>le</w:t>
      </w:r>
      <w:r w:rsidR="00B03EB8">
        <w:t xml:space="preserve">, la Cour </w:t>
      </w:r>
      <w:r w:rsidR="0036232A">
        <w:t>paraissait</w:t>
      </w:r>
      <w:r w:rsidR="00B03EB8">
        <w:t xml:space="preserve"> renforcer la nature irréfragable </w:t>
      </w:r>
      <w:r w:rsidR="005361D6">
        <w:t>de la</w:t>
      </w:r>
      <w:r w:rsidR="00B03EB8" w:rsidRPr="00840D7C">
        <w:t xml:space="preserve"> confiance mutuelle</w:t>
      </w:r>
      <w:r w:rsidR="005361D6">
        <w:t xml:space="preserve"> – alors que dans le même temps, l</w:t>
      </w:r>
      <w:r w:rsidR="005775D7">
        <w:t>’</w:t>
      </w:r>
      <w:r w:rsidR="005361D6">
        <w:t>attitude de certains pays d</w:t>
      </w:r>
      <w:r w:rsidR="005775D7">
        <w:t>’</w:t>
      </w:r>
      <w:r w:rsidR="005361D6">
        <w:t>Europe de l</w:t>
      </w:r>
      <w:r w:rsidR="005775D7">
        <w:t>’</w:t>
      </w:r>
      <w:r w:rsidR="005361D6">
        <w:t>est vis-à-vis du respect des valeurs fondatrices de l</w:t>
      </w:r>
      <w:r w:rsidR="005775D7">
        <w:t>’</w:t>
      </w:r>
      <w:r w:rsidR="005361D6">
        <w:t xml:space="preserve">Union donnait de plus en </w:t>
      </w:r>
      <w:r w:rsidR="00B03EB8" w:rsidRPr="00840D7C">
        <w:t xml:space="preserve">plus </w:t>
      </w:r>
      <w:r w:rsidR="005361D6">
        <w:t>à cette dernière l</w:t>
      </w:r>
      <w:r w:rsidR="005775D7">
        <w:t>’</w:t>
      </w:r>
      <w:r w:rsidR="005361D6">
        <w:t>apparence d</w:t>
      </w:r>
      <w:r w:rsidR="005775D7">
        <w:t>’</w:t>
      </w:r>
      <w:r w:rsidR="005361D6">
        <w:t xml:space="preserve">une </w:t>
      </w:r>
      <w:r w:rsidR="00B03EB8" w:rsidRPr="00840D7C">
        <w:t>fiction</w:t>
      </w:r>
      <w:r w:rsidR="005361D6">
        <w:rPr>
          <w:rStyle w:val="Appelnotedebasdep"/>
        </w:rPr>
        <w:footnoteReference w:id="71"/>
      </w:r>
      <w:r w:rsidR="005361D6">
        <w:t>.</w:t>
      </w:r>
    </w:p>
    <w:p w14:paraId="39A3FA8C" w14:textId="26C0D08D" w:rsidR="00581655" w:rsidRPr="00840D7C" w:rsidRDefault="000A09DF" w:rsidP="006F750A">
      <w:r>
        <w:lastRenderedPageBreak/>
        <w:t>Cependant</w:t>
      </w:r>
      <w:r w:rsidR="00302AC3" w:rsidRPr="00840D7C">
        <w:t>,</w:t>
      </w:r>
      <w:r w:rsidR="00847285" w:rsidRPr="00840D7C">
        <w:t xml:space="preserve"> il se pourrait </w:t>
      </w:r>
      <w:r>
        <w:t>que le chemin pris par la jurisprudence depuis l</w:t>
      </w:r>
      <w:r w:rsidR="005775D7">
        <w:t>’</w:t>
      </w:r>
      <w:r>
        <w:t>avis 2/13 éclaire d</w:t>
      </w:r>
      <w:r w:rsidR="005775D7">
        <w:t>’</w:t>
      </w:r>
      <w:r>
        <w:t>une autre lumière la consécration de la confiance mutuelle</w:t>
      </w:r>
      <w:r w:rsidR="00847285" w:rsidRPr="00840D7C">
        <w:rPr>
          <w:rStyle w:val="Appelnotedebasdep"/>
        </w:rPr>
        <w:footnoteReference w:id="72"/>
      </w:r>
      <w:r w:rsidR="006F750A">
        <w:t xml:space="preserve">. Cette hypothèse, si elle devait être confirmée, </w:t>
      </w:r>
      <w:r w:rsidR="00581655" w:rsidRPr="00840D7C">
        <w:t xml:space="preserve">inscrirait la </w:t>
      </w:r>
      <w:r w:rsidR="004F41D8" w:rsidRPr="00840D7C">
        <w:t>confiance mutuelle</w:t>
      </w:r>
      <w:r w:rsidR="00581655" w:rsidRPr="00840D7C">
        <w:t xml:space="preserve"> et le </w:t>
      </w:r>
      <w:r w:rsidR="0009745C" w:rsidRPr="00840D7C">
        <w:t>principe de reconnaissance mutuelle</w:t>
      </w:r>
      <w:r w:rsidR="00581655" w:rsidRPr="00840D7C">
        <w:t xml:space="preserve"> dans la </w:t>
      </w:r>
      <w:r w:rsidR="00BF3918">
        <w:t>logique du</w:t>
      </w:r>
      <w:r w:rsidR="00581655" w:rsidRPr="00840D7C">
        <w:t xml:space="preserve"> droit constitutionnel « multi-niveau » : après l</w:t>
      </w:r>
      <w:r w:rsidR="005775D7">
        <w:t>’</w:t>
      </w:r>
      <w:r w:rsidR="00581655" w:rsidRPr="00840D7C">
        <w:t>affirmation des divers mécanismes d</w:t>
      </w:r>
      <w:r w:rsidR="005775D7">
        <w:t>’</w:t>
      </w:r>
      <w:r w:rsidR="00581655" w:rsidRPr="00840D7C">
        <w:t xml:space="preserve">équivalence dans la protection des </w:t>
      </w:r>
      <w:r w:rsidR="00840D7C">
        <w:t>droits de l</w:t>
      </w:r>
      <w:r w:rsidR="005775D7">
        <w:t>’</w:t>
      </w:r>
      <w:r w:rsidR="00840D7C">
        <w:t>homme</w:t>
      </w:r>
      <w:r w:rsidR="00BF3918">
        <w:t xml:space="preserve"> et l</w:t>
      </w:r>
      <w:r w:rsidR="005775D7">
        <w:t>’</w:t>
      </w:r>
      <w:r w:rsidR="00BF3918">
        <w:t>observation des difficultés que peut entrainer l</w:t>
      </w:r>
      <w:r w:rsidR="005775D7">
        <w:t>’</w:t>
      </w:r>
      <w:r w:rsidR="00BF3918">
        <w:t>absence de contrôle « extérieur »</w:t>
      </w:r>
      <w:r w:rsidR="00581655" w:rsidRPr="00840D7C">
        <w:t>, l</w:t>
      </w:r>
      <w:r w:rsidR="005775D7">
        <w:t>’</w:t>
      </w:r>
      <w:r w:rsidR="00581655" w:rsidRPr="00840D7C">
        <w:t xml:space="preserve">avis 2/13 </w:t>
      </w:r>
      <w:r w:rsidR="00C9027A">
        <w:t>susciterait</w:t>
      </w:r>
      <w:r w:rsidR="00581655" w:rsidRPr="00840D7C">
        <w:t xml:space="preserve"> paradoxalement un retour de la dynamique de congruence, de la politique du mieux-disant</w:t>
      </w:r>
      <w:r w:rsidR="00C9027A">
        <w:t xml:space="preserve"> en matière de</w:t>
      </w:r>
      <w:r w:rsidR="00840D7C">
        <w:t xml:space="preserve"> dr</w:t>
      </w:r>
      <w:r w:rsidR="00C9027A">
        <w:t>oits fondamentaux</w:t>
      </w:r>
      <w:r w:rsidR="00BF3918">
        <w:t>.</w:t>
      </w:r>
    </w:p>
    <w:p w14:paraId="50F291EC" w14:textId="535DF701" w:rsidR="0078116C" w:rsidRPr="00D36E29" w:rsidRDefault="007654B1" w:rsidP="00D36E29">
      <w:pPr>
        <w:pStyle w:val="Titre2"/>
      </w:pPr>
      <w:r>
        <w:t>II. Exception et méthode d</w:t>
      </w:r>
      <w:r w:rsidR="005775D7">
        <w:t>’</w:t>
      </w:r>
      <w:r>
        <w:t>intégration : u</w:t>
      </w:r>
      <w:r w:rsidR="00F53C19">
        <w:t>n principe différentiel</w:t>
      </w:r>
      <w:r>
        <w:t> </w:t>
      </w:r>
    </w:p>
    <w:p w14:paraId="14DD9A77" w14:textId="39A4C19D" w:rsidR="007654B1" w:rsidRPr="00F362E5" w:rsidRDefault="00BD613C" w:rsidP="00FD2A88">
      <w:pPr>
        <w:rPr>
          <w:bCs/>
        </w:rPr>
      </w:pPr>
      <w:r>
        <w:rPr>
          <w:bCs/>
        </w:rPr>
        <w:t>Au cœur des méthodes de l</w:t>
      </w:r>
      <w:r w:rsidR="005775D7">
        <w:rPr>
          <w:bCs/>
        </w:rPr>
        <w:t>’</w:t>
      </w:r>
      <w:r>
        <w:rPr>
          <w:bCs/>
        </w:rPr>
        <w:t>intégration juridique, la reconnaissance mutuelle se présente ainsi comme l</w:t>
      </w:r>
      <w:r w:rsidR="00BD024D">
        <w:rPr>
          <w:bCs/>
        </w:rPr>
        <w:t xml:space="preserve">a voie par laquelle </w:t>
      </w:r>
      <w:r w:rsidR="00C9027A">
        <w:rPr>
          <w:bCs/>
        </w:rPr>
        <w:t>peut être</w:t>
      </w:r>
      <w:r w:rsidR="00BD024D">
        <w:rPr>
          <w:bCs/>
        </w:rPr>
        <w:t xml:space="preserve"> interrogé l</w:t>
      </w:r>
      <w:r w:rsidR="005775D7">
        <w:rPr>
          <w:bCs/>
        </w:rPr>
        <w:t>’</w:t>
      </w:r>
      <w:r w:rsidR="00BD024D">
        <w:rPr>
          <w:bCs/>
        </w:rPr>
        <w:t>équilibre atteint par le droit commun – soit qu</w:t>
      </w:r>
      <w:r w:rsidR="005775D7">
        <w:rPr>
          <w:bCs/>
        </w:rPr>
        <w:t>’</w:t>
      </w:r>
      <w:r w:rsidR="00BD024D">
        <w:rPr>
          <w:bCs/>
        </w:rPr>
        <w:t>elle s</w:t>
      </w:r>
      <w:r w:rsidR="005775D7">
        <w:rPr>
          <w:bCs/>
        </w:rPr>
        <w:t>’</w:t>
      </w:r>
      <w:r w:rsidR="00BD024D">
        <w:rPr>
          <w:bCs/>
        </w:rPr>
        <w:t>efface devant la différence des pratiques nationales, qui apparaissent légitimes et commensurables aux yeux des acteurs nationaux et européens ; soit au contraire, qu</w:t>
      </w:r>
      <w:r w:rsidR="005775D7">
        <w:rPr>
          <w:bCs/>
        </w:rPr>
        <w:t>’</w:t>
      </w:r>
      <w:r w:rsidR="00BD024D">
        <w:rPr>
          <w:bCs/>
        </w:rPr>
        <w:t>elle suscite par ses effets une réflexion sur la nécessité d</w:t>
      </w:r>
      <w:r w:rsidR="005775D7">
        <w:rPr>
          <w:bCs/>
        </w:rPr>
        <w:t>’</w:t>
      </w:r>
      <w:r w:rsidR="00BD024D">
        <w:rPr>
          <w:bCs/>
        </w:rPr>
        <w:t>harmoniser</w:t>
      </w:r>
      <w:r w:rsidR="00014DD9">
        <w:rPr>
          <w:bCs/>
        </w:rPr>
        <w:t xml:space="preserve"> les solutions juridiques. </w:t>
      </w:r>
      <w:r w:rsidR="00D36E29">
        <w:rPr>
          <w:bCs/>
        </w:rPr>
        <w:t>Ainsi se dessine de manière immédiate une « identité européenne » se fondant « sur la pluralité ontologique des Etats, et le respect de la diversité</w:t>
      </w:r>
      <w:r w:rsidR="00C763B5">
        <w:rPr>
          <w:bCs/>
        </w:rPr>
        <w:t xml:space="preserve"> par l’UE »</w:t>
      </w:r>
      <w:r w:rsidR="00C763B5">
        <w:rPr>
          <w:rStyle w:val="Appelnotedebasdep"/>
          <w:bCs/>
        </w:rPr>
        <w:footnoteReference w:id="73"/>
      </w:r>
      <w:r w:rsidR="00C763B5">
        <w:rPr>
          <w:bCs/>
        </w:rPr>
        <w:t xml:space="preserve"> (A).</w:t>
      </w:r>
      <w:r w:rsidR="00D36E29">
        <w:rPr>
          <w:bCs/>
        </w:rPr>
        <w:t xml:space="preserve"> </w:t>
      </w:r>
      <w:r w:rsidR="00C763B5">
        <w:rPr>
          <w:bCs/>
        </w:rPr>
        <w:t xml:space="preserve">Toutefois, cette identité se construit aussi en profondeur, et elle est susceptible sur le temps long de favoriser un rapprochement entre les participants au processus d’intégration (B). </w:t>
      </w:r>
      <w:r w:rsidR="00014DD9">
        <w:rPr>
          <w:bCs/>
        </w:rPr>
        <w:t>Le </w:t>
      </w:r>
      <w:r w:rsidR="00496B1D">
        <w:rPr>
          <w:bCs/>
        </w:rPr>
        <w:t>principe de reconnaissance mutuelle est en ce sens une courroie de transmission pour le développement de l</w:t>
      </w:r>
      <w:r w:rsidR="005775D7">
        <w:rPr>
          <w:bCs/>
        </w:rPr>
        <w:t>’</w:t>
      </w:r>
      <w:r w:rsidR="00496B1D">
        <w:rPr>
          <w:bCs/>
        </w:rPr>
        <w:t>intégration, un mécanisme permettant une intégration « différentielle »,</w:t>
      </w:r>
      <w:r w:rsidR="00C72B39">
        <w:rPr>
          <w:bCs/>
        </w:rPr>
        <w:t xml:space="preserve"> </w:t>
      </w:r>
      <w:r w:rsidR="006F55F1">
        <w:rPr>
          <w:bCs/>
        </w:rPr>
        <w:t>c</w:t>
      </w:r>
      <w:r w:rsidR="005775D7">
        <w:rPr>
          <w:bCs/>
        </w:rPr>
        <w:t>’</w:t>
      </w:r>
      <w:r w:rsidR="006F55F1">
        <w:rPr>
          <w:bCs/>
        </w:rPr>
        <w:t xml:space="preserve">est-à-dire </w:t>
      </w:r>
      <w:r w:rsidR="00C72B39">
        <w:rPr>
          <w:bCs/>
        </w:rPr>
        <w:t xml:space="preserve">adaptative </w:t>
      </w:r>
      <w:r w:rsidR="00C72B39" w:rsidRPr="00FD2A88">
        <w:rPr>
          <w:bCs/>
        </w:rPr>
        <w:t xml:space="preserve">et </w:t>
      </w:r>
      <w:r w:rsidR="0036232A" w:rsidRPr="00FD2A88">
        <w:rPr>
          <w:bCs/>
        </w:rPr>
        <w:t>pluraliste</w:t>
      </w:r>
      <w:r w:rsidR="00C72B39" w:rsidRPr="00FD2A88">
        <w:rPr>
          <w:bCs/>
        </w:rPr>
        <w:t>.</w:t>
      </w:r>
    </w:p>
    <w:p w14:paraId="59E29C1F" w14:textId="20F321FB" w:rsidR="00F53C19" w:rsidRDefault="00AF517C" w:rsidP="00655EA1">
      <w:pPr>
        <w:pStyle w:val="Titre3"/>
        <w:numPr>
          <w:ilvl w:val="0"/>
          <w:numId w:val="21"/>
        </w:numPr>
      </w:pPr>
      <w:r>
        <w:t xml:space="preserve"> </w:t>
      </w:r>
      <w:r w:rsidR="00F53C19">
        <w:t>L</w:t>
      </w:r>
      <w:r w:rsidR="005775D7">
        <w:t>’</w:t>
      </w:r>
      <w:r w:rsidR="00F53C19">
        <w:t xml:space="preserve">effet immédiat : un mécanisme </w:t>
      </w:r>
      <w:r w:rsidR="007654B1" w:rsidRPr="007654B1">
        <w:t>ordonnant le pluralisme juridique</w:t>
      </w:r>
      <w:r w:rsidR="0047646C">
        <w:t xml:space="preserve"> au sein de l</w:t>
      </w:r>
      <w:r w:rsidR="005775D7">
        <w:t>’</w:t>
      </w:r>
      <w:r w:rsidR="0047646C">
        <w:t>Europe</w:t>
      </w:r>
    </w:p>
    <w:p w14:paraId="102E2E70" w14:textId="031EE2E6" w:rsidR="00FD2A88" w:rsidRPr="00DD5EB9" w:rsidRDefault="009F655A" w:rsidP="00E43B7B">
      <w:pPr>
        <w:rPr>
          <w:i/>
        </w:rPr>
      </w:pPr>
      <w:r>
        <w:t xml:space="preserve">Le principe de reconnaissance mutuelle est intrinsèquement un mécanisme pluraliste. Il </w:t>
      </w:r>
      <w:r w:rsidR="006C5E09">
        <w:t>a pour</w:t>
      </w:r>
      <w:r>
        <w:t xml:space="preserve"> vocation originelle </w:t>
      </w:r>
      <w:r w:rsidR="006C5E09">
        <w:t>de</w:t>
      </w:r>
      <w:r>
        <w:t xml:space="preserve"> permettre </w:t>
      </w:r>
      <w:r w:rsidR="006C5E09">
        <w:t>d</w:t>
      </w:r>
      <w:r w:rsidR="005775D7">
        <w:t>’</w:t>
      </w:r>
      <w:r w:rsidR="006C5E09">
        <w:t>assimiler</w:t>
      </w:r>
      <w:r>
        <w:t xml:space="preserve"> </w:t>
      </w:r>
      <w:r w:rsidR="00DB2795">
        <w:t>à l</w:t>
      </w:r>
      <w:r w:rsidR="005775D7">
        <w:t>’</w:t>
      </w:r>
      <w:r w:rsidR="00DB2795">
        <w:t>intérieur</w:t>
      </w:r>
      <w:r w:rsidR="006C5E09">
        <w:t xml:space="preserve"> d</w:t>
      </w:r>
      <w:r w:rsidR="005775D7">
        <w:t>’</w:t>
      </w:r>
      <w:r w:rsidR="006C5E09">
        <w:t xml:space="preserve">un espace ouvert et coordonné </w:t>
      </w:r>
      <w:r>
        <w:t>la divers</w:t>
      </w:r>
      <w:r w:rsidR="006C5E09">
        <w:t>ité des pratiques juridiques nationales, en évitant</w:t>
      </w:r>
      <w:r w:rsidR="004C2BF7">
        <w:t xml:space="preserve"> le recours systématique </w:t>
      </w:r>
      <w:r w:rsidR="006C5E09">
        <w:t xml:space="preserve">à </w:t>
      </w:r>
      <w:r w:rsidR="004C2BF7">
        <w:t>l</w:t>
      </w:r>
      <w:r w:rsidR="005775D7">
        <w:t>’</w:t>
      </w:r>
      <w:r w:rsidR="004C2BF7">
        <w:t xml:space="preserve">harmonisation positive. </w:t>
      </w:r>
      <w:r w:rsidR="006C5E09">
        <w:t>Tel est l</w:t>
      </w:r>
      <w:r w:rsidR="004C2BF7">
        <w:t>e cas</w:t>
      </w:r>
      <w:r w:rsidR="00106912">
        <w:t xml:space="preserve"> depuis 1979</w:t>
      </w:r>
      <w:r w:rsidR="004C2BF7">
        <w:t xml:space="preserve"> dans le cadre du marché intérieur</w:t>
      </w:r>
      <w:r w:rsidR="006C5E09">
        <w:t xml:space="preserve"> ; </w:t>
      </w:r>
      <w:r w:rsidR="00853245">
        <w:t>de même</w:t>
      </w:r>
      <w:r w:rsidR="00106912">
        <w:t>,</w:t>
      </w:r>
      <w:r w:rsidR="00853245">
        <w:t xml:space="preserve"> </w:t>
      </w:r>
      <w:r w:rsidR="006C5E09">
        <w:t>au sein de l</w:t>
      </w:r>
      <w:r w:rsidR="005775D7">
        <w:t>’</w:t>
      </w:r>
      <w:r w:rsidR="006C5E09">
        <w:t xml:space="preserve">ELSJ, est-il destinée </w:t>
      </w:r>
      <w:r w:rsidR="005E7346">
        <w:t>à maintenir l</w:t>
      </w:r>
      <w:r w:rsidR="005775D7">
        <w:t>’</w:t>
      </w:r>
      <w:r w:rsidR="005E7346">
        <w:t xml:space="preserve">unité </w:t>
      </w:r>
      <w:r w:rsidR="00BD5B46">
        <w:t>tout</w:t>
      </w:r>
      <w:r w:rsidR="005E7346">
        <w:t xml:space="preserve"> </w:t>
      </w:r>
      <w:r w:rsidR="005E7346" w:rsidRPr="005E7346">
        <w:t>« </w:t>
      </w:r>
      <w:r w:rsidR="005E7346" w:rsidRPr="006C5E09">
        <w:t>en permettant aux choix éthiques et de société de chaque Etat membre de coexister </w:t>
      </w:r>
      <w:r w:rsidR="005E7346" w:rsidRPr="005E7346">
        <w:t>»</w:t>
      </w:r>
      <w:r w:rsidR="005E7346" w:rsidRPr="005E7346">
        <w:rPr>
          <w:vertAlign w:val="superscript"/>
        </w:rPr>
        <w:footnoteReference w:id="74"/>
      </w:r>
      <w:r w:rsidR="00BD5B46">
        <w:t xml:space="preserve">. </w:t>
      </w:r>
    </w:p>
    <w:p w14:paraId="0D243406" w14:textId="7CFFF1E7" w:rsidR="00027AA6" w:rsidRDefault="007250E8" w:rsidP="00A032D5">
      <w:r>
        <w:lastRenderedPageBreak/>
        <w:t>En tant qu</w:t>
      </w:r>
      <w:r w:rsidR="005775D7">
        <w:t>’</w:t>
      </w:r>
      <w:r>
        <w:t xml:space="preserve">« </w:t>
      </w:r>
      <w:r w:rsidRPr="00C9027A">
        <w:t>élément fondamental du processus évolutif dans lequel est engagée l</w:t>
      </w:r>
      <w:r w:rsidR="005775D7">
        <w:t>’</w:t>
      </w:r>
      <w:r w:rsidRPr="00C9027A">
        <w:t>Union européenne »</w:t>
      </w:r>
      <w:r w:rsidRPr="00C9027A">
        <w:rPr>
          <w:rStyle w:val="Appelnotedebasdep"/>
        </w:rPr>
        <w:footnoteReference w:id="75"/>
      </w:r>
      <w:r>
        <w:t xml:space="preserve">, </w:t>
      </w:r>
      <w:r w:rsidRPr="00C9027A">
        <w:t>le principe de reconnaissance mutuelle « est un puissant facteur d</w:t>
      </w:r>
      <w:r w:rsidR="005775D7">
        <w:t>’</w:t>
      </w:r>
      <w:r w:rsidRPr="00C9027A">
        <w:t>intég</w:t>
      </w:r>
      <w:r w:rsidR="00DF5A16">
        <w:t xml:space="preserve">ration » </w:t>
      </w:r>
      <w:r>
        <w:t xml:space="preserve">qui </w:t>
      </w:r>
      <w:r w:rsidR="00DF5A16">
        <w:t>s</w:t>
      </w:r>
      <w:r w:rsidR="005775D7">
        <w:t>’</w:t>
      </w:r>
      <w:r w:rsidR="00DF5A16">
        <w:t>inscrit ainsi, comme le rappelle la Commission à propos du marché intérieur,</w:t>
      </w:r>
      <w:r>
        <w:t xml:space="preserve"> « </w:t>
      </w:r>
      <w:r w:rsidRPr="00C9027A">
        <w:t>dans le respect de la subsidiarité »</w:t>
      </w:r>
      <w:r w:rsidRPr="00C9027A">
        <w:rPr>
          <w:rStyle w:val="Appelnotedebasdep"/>
        </w:rPr>
        <w:footnoteReference w:id="76"/>
      </w:r>
      <w:r>
        <w:t>. Son utilisation dans le domaine de l</w:t>
      </w:r>
      <w:r w:rsidR="005775D7">
        <w:t>’</w:t>
      </w:r>
      <w:r>
        <w:t>ELSJ semble donc devoir elle aussi se soumettre à cette logique de subsidiarité</w:t>
      </w:r>
      <w:r w:rsidR="009721A7">
        <w:t>,</w:t>
      </w:r>
      <w:r>
        <w:t xml:space="preserve"> permettant d</w:t>
      </w:r>
      <w:r w:rsidR="005775D7">
        <w:t>’</w:t>
      </w:r>
      <w:r>
        <w:t>articuler, d</w:t>
      </w:r>
      <w:r w:rsidR="005775D7">
        <w:t>’</w:t>
      </w:r>
      <w:r>
        <w:t>une part, harmonisation négative et positive et, d</w:t>
      </w:r>
      <w:r w:rsidR="005775D7">
        <w:t>’</w:t>
      </w:r>
      <w:r>
        <w:t xml:space="preserve">autre part, confiance et </w:t>
      </w:r>
      <w:r w:rsidR="00730802">
        <w:t>résistance</w:t>
      </w:r>
      <w:r>
        <w:t xml:space="preserve"> vis-à-vis </w:t>
      </w:r>
      <w:r w:rsidR="008C39F5">
        <w:t xml:space="preserve">des décisions transnationales. </w:t>
      </w:r>
      <w:r w:rsidR="00E50CAA">
        <w:t>La reconnaissance mutuelle est en ce sens une méthode tout à fait conforme à la structure constitutionnelle d</w:t>
      </w:r>
      <w:r w:rsidR="005775D7">
        <w:t>’</w:t>
      </w:r>
      <w:r w:rsidR="00E50CAA">
        <w:t>une Union qui se présente comme respectueuse de l</w:t>
      </w:r>
      <w:r w:rsidR="005775D7">
        <w:t>’</w:t>
      </w:r>
      <w:r w:rsidR="00E50CAA">
        <w:t>identité nationale des Etats membres</w:t>
      </w:r>
      <w:r w:rsidR="00E50CAA" w:rsidRPr="00BD5B46">
        <w:rPr>
          <w:vertAlign w:val="superscript"/>
        </w:rPr>
        <w:footnoteReference w:id="77"/>
      </w:r>
      <w:r w:rsidR="00E50CAA">
        <w:t xml:space="preserve"> et des droits fondamentaux</w:t>
      </w:r>
      <w:r w:rsidR="00E50CAA" w:rsidRPr="00DD5EB9">
        <w:rPr>
          <w:rStyle w:val="Appelnotedebasdep"/>
        </w:rPr>
        <w:footnoteReference w:id="78"/>
      </w:r>
      <w:r w:rsidR="00E50CAA">
        <w:t>.</w:t>
      </w:r>
      <w:r w:rsidR="00A032D5" w:rsidRPr="00A032D5">
        <w:t xml:space="preserve"> </w:t>
      </w:r>
      <w:r w:rsidR="00A032D5">
        <w:t>Une telle</w:t>
      </w:r>
      <w:r w:rsidR="00A032D5">
        <w:t> conception de la reconnaissance</w:t>
      </w:r>
      <w:r w:rsidR="00A032D5" w:rsidRPr="009721A7">
        <w:t xml:space="preserve"> s</w:t>
      </w:r>
      <w:r w:rsidR="00A032D5">
        <w:t xml:space="preserve">emble </w:t>
      </w:r>
      <w:r w:rsidR="00A032D5">
        <w:t xml:space="preserve">innerver ainsi </w:t>
      </w:r>
      <w:r w:rsidR="00A032D5" w:rsidRPr="009721A7">
        <w:t>l</w:t>
      </w:r>
      <w:r w:rsidR="00A032D5">
        <w:t>’</w:t>
      </w:r>
      <w:r w:rsidR="00A032D5" w:rsidRPr="009721A7">
        <w:t>article 67 TFUE, en vertu duquel l</w:t>
      </w:r>
      <w:r w:rsidR="00A032D5">
        <w:t>’</w:t>
      </w:r>
      <w:r w:rsidR="00A032D5" w:rsidRPr="009721A7">
        <w:t xml:space="preserve">Union « constitue un espace de liberté, de sécurité et de justice </w:t>
      </w:r>
      <w:r w:rsidR="00A032D5" w:rsidRPr="008932FA">
        <w:rPr>
          <w:i/>
        </w:rPr>
        <w:t>dans le respect</w:t>
      </w:r>
      <w:r w:rsidR="00A032D5" w:rsidRPr="009721A7">
        <w:t xml:space="preserve"> des droits fondamentaux et des différents systèmes et traditions juridiques des États membres »</w:t>
      </w:r>
      <w:r w:rsidR="00A032D5">
        <w:t> ; mais aussi des dispositions plus générales comme l’article 4, §2 TUE</w:t>
      </w:r>
      <w:r w:rsidR="00A032D5">
        <w:t xml:space="preserve"> qui </w:t>
      </w:r>
      <w:r w:rsidR="00A032D5" w:rsidRPr="00A032D5">
        <w:t>affirme que</w:t>
      </w:r>
      <w:r w:rsidR="00A032D5">
        <w:t xml:space="preserve"> l’« </w:t>
      </w:r>
      <w:r w:rsidR="00A032D5" w:rsidRPr="00A032D5">
        <w:t>Union</w:t>
      </w:r>
      <w:r w:rsidR="00A032D5">
        <w:t xml:space="preserve"> </w:t>
      </w:r>
      <w:r w:rsidR="00A032D5" w:rsidRPr="00A032D5">
        <w:t xml:space="preserve">respecte </w:t>
      </w:r>
      <w:r w:rsidR="00A032D5">
        <w:t>l’é</w:t>
      </w:r>
      <w:r w:rsidR="00A032D5" w:rsidRPr="00A032D5">
        <w:t xml:space="preserve">galité des </w:t>
      </w:r>
      <w:r w:rsidR="00A032D5">
        <w:t>E</w:t>
      </w:r>
      <w:r w:rsidR="00A032D5" w:rsidRPr="00A032D5">
        <w:t xml:space="preserve">tats membres devant les traités </w:t>
      </w:r>
      <w:r w:rsidR="00A032D5">
        <w:t xml:space="preserve">ainsi que </w:t>
      </w:r>
      <w:r w:rsidR="00A032D5" w:rsidRPr="00A032D5">
        <w:t>leur</w:t>
      </w:r>
      <w:r w:rsidR="00A032D5">
        <w:t xml:space="preserve"> </w:t>
      </w:r>
      <w:r w:rsidR="00A032D5" w:rsidRPr="00A032D5">
        <w:t xml:space="preserve">identité </w:t>
      </w:r>
      <w:r w:rsidR="00A032D5">
        <w:t xml:space="preserve">nationale, </w:t>
      </w:r>
      <w:r w:rsidR="00A032D5" w:rsidRPr="00A032D5">
        <w:t>inhérente</w:t>
      </w:r>
      <w:r w:rsidR="00A032D5">
        <w:t xml:space="preserve"> </w:t>
      </w:r>
      <w:r w:rsidR="00A032D5" w:rsidRPr="00A032D5">
        <w:t xml:space="preserve"> à</w:t>
      </w:r>
      <w:r w:rsidR="00A032D5">
        <w:t xml:space="preserve"> </w:t>
      </w:r>
      <w:r w:rsidR="00A032D5" w:rsidRPr="00A032D5">
        <w:t xml:space="preserve"> leurs</w:t>
      </w:r>
      <w:r w:rsidR="00A032D5">
        <w:t xml:space="preserve"> </w:t>
      </w:r>
      <w:r w:rsidR="00A032D5" w:rsidRPr="00A032D5">
        <w:t xml:space="preserve"> structures</w:t>
      </w:r>
      <w:r w:rsidR="00A032D5">
        <w:t xml:space="preserve"> </w:t>
      </w:r>
      <w:r w:rsidR="00A032D5" w:rsidRPr="00A032D5">
        <w:t xml:space="preserve"> fondamentales</w:t>
      </w:r>
      <w:r w:rsidR="00A032D5">
        <w:t xml:space="preserve"> </w:t>
      </w:r>
      <w:r w:rsidR="00A032D5" w:rsidRPr="00A032D5">
        <w:t xml:space="preserve"> politiqu</w:t>
      </w:r>
      <w:r w:rsidR="00A032D5">
        <w:t>es  et  constitutionnelles ».</w:t>
      </w:r>
    </w:p>
    <w:p w14:paraId="41B8FFA8" w14:textId="77777777" w:rsidR="00A032D5" w:rsidRDefault="00E50CAA" w:rsidP="008D1047">
      <w:r>
        <w:t>A</w:t>
      </w:r>
      <w:r w:rsidR="008C39F5" w:rsidRPr="00DD5EB9">
        <w:t xml:space="preserve"> la différence de la confiance mutuelle</w:t>
      </w:r>
      <w:r>
        <w:t>,</w:t>
      </w:r>
      <w:r w:rsidR="00096F7C">
        <w:t xml:space="preserve"> qui en tant qu’</w:t>
      </w:r>
      <w:r w:rsidR="008C39F5">
        <w:t>« </w:t>
      </w:r>
      <w:r w:rsidR="008C39F5" w:rsidRPr="00DD5EB9">
        <w:t>objectif à valeur constitutionnel</w:t>
      </w:r>
      <w:r w:rsidR="008C39F5">
        <w:t>le »</w:t>
      </w:r>
      <w:r w:rsidR="008C39F5" w:rsidRPr="00DD5EB9">
        <w:t xml:space="preserve"> </w:t>
      </w:r>
      <w:r w:rsidR="00096F7C">
        <w:t>doit effectivement</w:t>
      </w:r>
      <w:r w:rsidR="008C39F5" w:rsidRPr="00DD5EB9">
        <w:t xml:space="preserve"> être </w:t>
      </w:r>
      <w:r w:rsidR="008C39F5" w:rsidRPr="00853245">
        <w:rPr>
          <w:i/>
        </w:rPr>
        <w:t xml:space="preserve">un </w:t>
      </w:r>
      <w:r w:rsidR="00096F7C">
        <w:rPr>
          <w:i/>
        </w:rPr>
        <w:t xml:space="preserve">principe </w:t>
      </w:r>
      <w:r w:rsidR="008C39F5" w:rsidRPr="00853245">
        <w:rPr>
          <w:i/>
        </w:rPr>
        <w:t>absolu</w:t>
      </w:r>
      <w:r w:rsidR="008C39F5" w:rsidRPr="00DD5EB9">
        <w:t xml:space="preserve"> de l</w:t>
      </w:r>
      <w:r w:rsidR="005775D7">
        <w:t>’</w:t>
      </w:r>
      <w:r w:rsidR="008C39F5" w:rsidRPr="00DD5EB9">
        <w:t xml:space="preserve">intégration pluraliste, </w:t>
      </w:r>
      <w:r w:rsidR="008C39F5">
        <w:t xml:space="preserve">on peut </w:t>
      </w:r>
      <w:r>
        <w:t xml:space="preserve">donc </w:t>
      </w:r>
      <w:r w:rsidR="008C39F5">
        <w:t xml:space="preserve">penser que </w:t>
      </w:r>
      <w:r w:rsidR="008C39F5" w:rsidRPr="00DD5EB9">
        <w:t xml:space="preserve">le principe de reconnaissance mutuelle </w:t>
      </w:r>
      <w:r w:rsidR="008C39F5">
        <w:t>corroborera</w:t>
      </w:r>
      <w:r w:rsidR="008C39F5" w:rsidRPr="00DD5EB9">
        <w:t xml:space="preserve"> d</w:t>
      </w:r>
      <w:r w:rsidR="005775D7">
        <w:t>’</w:t>
      </w:r>
      <w:r w:rsidR="008C39F5" w:rsidRPr="00DD5EB9">
        <w:t xml:space="preserve">autant </w:t>
      </w:r>
      <w:r w:rsidR="008932FA">
        <w:t>plus évidemment c</w:t>
      </w:r>
      <w:r w:rsidR="008C39F5">
        <w:t>e caractère pluraliste</w:t>
      </w:r>
      <w:r w:rsidR="008C39F5" w:rsidRPr="00DD5EB9">
        <w:t xml:space="preserve"> qu</w:t>
      </w:r>
      <w:r w:rsidR="005775D7">
        <w:t>’</w:t>
      </w:r>
      <w:r w:rsidR="008C39F5" w:rsidRPr="00DD5EB9">
        <w:t xml:space="preserve">il se </w:t>
      </w:r>
      <w:r w:rsidR="008C39F5">
        <w:t>présentera</w:t>
      </w:r>
      <w:r w:rsidR="008C39F5" w:rsidRPr="00DD5EB9">
        <w:t xml:space="preserve"> comme une présomption</w:t>
      </w:r>
      <w:r w:rsidR="008932FA">
        <w:t xml:space="preserve"> </w:t>
      </w:r>
      <w:r w:rsidR="008C39F5" w:rsidRPr="00DD5EB9">
        <w:t>susceptible d</w:t>
      </w:r>
      <w:r w:rsidR="005775D7">
        <w:t>’</w:t>
      </w:r>
      <w:r w:rsidR="008C39F5" w:rsidRPr="00DD5EB9">
        <w:t>être renversée</w:t>
      </w:r>
      <w:r w:rsidR="008C39F5" w:rsidRPr="00DD5EB9">
        <w:rPr>
          <w:rStyle w:val="Appelnotedebasdep"/>
        </w:rPr>
        <w:footnoteReference w:id="79"/>
      </w:r>
      <w:r w:rsidR="008932FA">
        <w:t xml:space="preserve">. </w:t>
      </w:r>
      <w:r w:rsidR="004A42AD">
        <w:t xml:space="preserve">Toutefois, ce pluralisme </w:t>
      </w:r>
      <w:r w:rsidR="00741CF0">
        <w:t xml:space="preserve">ne </w:t>
      </w:r>
      <w:r w:rsidR="008932FA">
        <w:t xml:space="preserve">peut reposer </w:t>
      </w:r>
      <w:r w:rsidR="00D562F8">
        <w:t xml:space="preserve">sur la seule </w:t>
      </w:r>
      <w:r w:rsidR="004A42AD">
        <w:t xml:space="preserve">affirmation </w:t>
      </w:r>
      <w:r w:rsidR="00741CF0">
        <w:t>du</w:t>
      </w:r>
      <w:r w:rsidR="004A42AD">
        <w:t xml:space="preserve"> respect des particularités des ordres englobés</w:t>
      </w:r>
      <w:r w:rsidR="00741CF0" w:rsidRPr="00741CF0">
        <w:t xml:space="preserve"> </w:t>
      </w:r>
      <w:r w:rsidR="00741CF0">
        <w:t>par l</w:t>
      </w:r>
      <w:r w:rsidR="005775D7">
        <w:t>’</w:t>
      </w:r>
      <w:r w:rsidR="00741CF0">
        <w:t>ordre englobant</w:t>
      </w:r>
      <w:r w:rsidR="00D562F8">
        <w:t>,</w:t>
      </w:r>
      <w:r w:rsidR="008932FA">
        <w:t xml:space="preserve"> au risque sinon de mettre en cause sa dimension intégrative</w:t>
      </w:r>
      <w:r w:rsidR="008D1047">
        <w:t>.</w:t>
      </w:r>
      <w:r w:rsidR="00741CF0">
        <w:t xml:space="preserve"> </w:t>
      </w:r>
      <w:r w:rsidR="00D562F8">
        <w:t>En effet, dans une perspective constitutionnelle, p</w:t>
      </w:r>
      <w:r w:rsidR="008932FA">
        <w:t>lurali</w:t>
      </w:r>
      <w:r w:rsidR="00D562F8">
        <w:t>sme</w:t>
      </w:r>
      <w:r w:rsidR="008932FA">
        <w:t xml:space="preserve"> et intégration ne font</w:t>
      </w:r>
      <w:r w:rsidR="00D562F8">
        <w:t xml:space="preserve"> pleinement</w:t>
      </w:r>
      <w:r w:rsidR="008932FA">
        <w:t xml:space="preserve"> sens </w:t>
      </w:r>
      <w:r w:rsidR="00D562F8">
        <w:t>qu’à travers leur conjugaison sous le</w:t>
      </w:r>
      <w:r w:rsidR="00730802">
        <w:t xml:space="preserve"> contrôle de la Cour de justice</w:t>
      </w:r>
      <w:r w:rsidR="00741CF0">
        <w:t>, à qui est confiée la charge d</w:t>
      </w:r>
      <w:r w:rsidR="005775D7">
        <w:t>’</w:t>
      </w:r>
      <w:r w:rsidR="00741CF0">
        <w:t>assurer le bon fonctionnement d</w:t>
      </w:r>
      <w:r w:rsidR="005775D7">
        <w:t>’</w:t>
      </w:r>
      <w:r w:rsidR="00DF5A16">
        <w:t xml:space="preserve">un </w:t>
      </w:r>
      <w:r w:rsidR="004A42AD">
        <w:t xml:space="preserve">espace normatif </w:t>
      </w:r>
      <w:r w:rsidR="00DF5A16">
        <w:t>coordonné</w:t>
      </w:r>
      <w:r w:rsidR="004A42AD">
        <w:t xml:space="preserve">. </w:t>
      </w:r>
      <w:r w:rsidR="008C39F5">
        <w:t>A cet égard</w:t>
      </w:r>
      <w:r w:rsidR="00027AA6">
        <w:t>,</w:t>
      </w:r>
      <w:r w:rsidR="008D1047" w:rsidRPr="00730802">
        <w:t xml:space="preserve"> </w:t>
      </w:r>
      <w:r w:rsidR="00244C83">
        <w:t>cette dernière</w:t>
      </w:r>
      <w:r w:rsidR="008D1047" w:rsidRPr="00730802">
        <w:t xml:space="preserve"> s</w:t>
      </w:r>
      <w:r w:rsidR="005775D7">
        <w:t>’</w:t>
      </w:r>
      <w:r w:rsidR="00730802" w:rsidRPr="00730802">
        <w:t xml:space="preserve">est toujours </w:t>
      </w:r>
      <w:r w:rsidR="00027230" w:rsidRPr="00730802">
        <w:t>attach</w:t>
      </w:r>
      <w:r w:rsidR="00730802" w:rsidRPr="00730802">
        <w:t>é</w:t>
      </w:r>
      <w:r w:rsidR="00027230" w:rsidRPr="00730802">
        <w:t>e à ce que le</w:t>
      </w:r>
      <w:r w:rsidR="008D1047" w:rsidRPr="00730802">
        <w:t>s limites du</w:t>
      </w:r>
      <w:r w:rsidR="00027230" w:rsidRPr="00730802">
        <w:t xml:space="preserve"> </w:t>
      </w:r>
      <w:r w:rsidR="0009745C" w:rsidRPr="00730802">
        <w:t>principe de reconnaissance mutuelle</w:t>
      </w:r>
      <w:r w:rsidR="00027230" w:rsidRPr="00730802">
        <w:t xml:space="preserve"> ne remette</w:t>
      </w:r>
      <w:r w:rsidR="008D1047" w:rsidRPr="00730802">
        <w:t>nt</w:t>
      </w:r>
      <w:r w:rsidR="00027230" w:rsidRPr="00730802">
        <w:t xml:space="preserve"> pas en cause </w:t>
      </w:r>
      <w:r w:rsidR="008D1047" w:rsidRPr="00730802">
        <w:t>les caractéristiques essentielles du droit de l</w:t>
      </w:r>
      <w:r w:rsidR="005775D7">
        <w:t>’</w:t>
      </w:r>
      <w:r w:rsidR="008D1047" w:rsidRPr="00730802">
        <w:t>Union</w:t>
      </w:r>
      <w:r w:rsidR="00060E8F" w:rsidRPr="00730802">
        <w:t xml:space="preserve">. </w:t>
      </w:r>
    </w:p>
    <w:p w14:paraId="4A867892" w14:textId="72299EAB" w:rsidR="008C39F5" w:rsidRDefault="00060E8F" w:rsidP="008D1047">
      <w:r w:rsidRPr="00730802">
        <w:lastRenderedPageBreak/>
        <w:t>C</w:t>
      </w:r>
      <w:r w:rsidR="005775D7">
        <w:t>’</w:t>
      </w:r>
      <w:r w:rsidRPr="00730802">
        <w:t xml:space="preserve">est tout le sens de </w:t>
      </w:r>
      <w:r w:rsidR="008C39F5">
        <w:t>la position qu</w:t>
      </w:r>
      <w:r w:rsidR="005775D7">
        <w:t>’</w:t>
      </w:r>
      <w:r w:rsidR="008C39F5">
        <w:t>elle a adopté</w:t>
      </w:r>
      <w:r w:rsidRPr="00730802">
        <w:t xml:space="preserve"> en matière d</w:t>
      </w:r>
      <w:r w:rsidR="005775D7">
        <w:t>’</w:t>
      </w:r>
      <w:r w:rsidRPr="00730802">
        <w:t xml:space="preserve">entrave à la libre circulation des facteurs de production, en interdisant les réglementations nationales directement discriminatoires, disproportionnées, </w:t>
      </w:r>
      <w:r w:rsidR="00790ECA" w:rsidRPr="00730802">
        <w:t xml:space="preserve">ainsi que celles qui interviennent </w:t>
      </w:r>
      <w:r w:rsidRPr="00730802">
        <w:t>sur une question faisant</w:t>
      </w:r>
      <w:r w:rsidR="00790ECA" w:rsidRPr="00730802">
        <w:t xml:space="preserve"> déjà</w:t>
      </w:r>
      <w:r w:rsidRPr="00730802">
        <w:t xml:space="preserve"> l</w:t>
      </w:r>
      <w:r w:rsidR="005775D7">
        <w:t>’</w:t>
      </w:r>
      <w:r w:rsidRPr="00730802">
        <w:t>objet d</w:t>
      </w:r>
      <w:r w:rsidR="005775D7">
        <w:t>’</w:t>
      </w:r>
      <w:r w:rsidRPr="00730802">
        <w:t>une harmonisation européenne. D</w:t>
      </w:r>
      <w:r w:rsidR="00027AA6">
        <w:t>e </w:t>
      </w:r>
      <w:r w:rsidRPr="00730802">
        <w:t>même,</w:t>
      </w:r>
      <w:r w:rsidR="008D1047" w:rsidRPr="00730802">
        <w:t xml:space="preserve"> </w:t>
      </w:r>
      <w:r w:rsidR="00244C83">
        <w:t xml:space="preserve">si </w:t>
      </w:r>
      <w:r w:rsidR="008D1047" w:rsidRPr="00730802">
        <w:t xml:space="preserve">dans son arrêt </w:t>
      </w:r>
      <w:r w:rsidR="008D1047" w:rsidRPr="00730802">
        <w:rPr>
          <w:i/>
        </w:rPr>
        <w:t>Melloni</w:t>
      </w:r>
      <w:r w:rsidR="00244C83">
        <w:t xml:space="preserve"> </w:t>
      </w:r>
      <w:r w:rsidRPr="00730802">
        <w:t>la Cour</w:t>
      </w:r>
      <w:r w:rsidR="00790ECA" w:rsidRPr="00730802">
        <w:t xml:space="preserve"> </w:t>
      </w:r>
      <w:r w:rsidR="00244C83">
        <w:t xml:space="preserve">interdit </w:t>
      </w:r>
      <w:r w:rsidR="008D1047" w:rsidRPr="00730802">
        <w:t>à un Etat membre d</w:t>
      </w:r>
      <w:r w:rsidR="005775D7">
        <w:t>’</w:t>
      </w:r>
      <w:r w:rsidR="008D1047" w:rsidRPr="00730802">
        <w:t>ajouter de nouvelles causes de non-exécution</w:t>
      </w:r>
      <w:r w:rsidR="00244C83">
        <w:t xml:space="preserve"> à celles prévues par la décision-cadre sur le</w:t>
      </w:r>
      <w:r w:rsidR="008D1047" w:rsidRPr="00730802">
        <w:t xml:space="preserve"> mandat d</w:t>
      </w:r>
      <w:r w:rsidR="005775D7">
        <w:t>’</w:t>
      </w:r>
      <w:r w:rsidR="00244C83">
        <w:t xml:space="preserve">arrêt européen, c’est à afin de </w:t>
      </w:r>
      <w:r w:rsidR="00244C83" w:rsidRPr="00730802">
        <w:t>préserve</w:t>
      </w:r>
      <w:r w:rsidR="00244C83">
        <w:t>r</w:t>
      </w:r>
      <w:r w:rsidR="00244C83" w:rsidRPr="00730802">
        <w:t xml:space="preserve"> l</w:t>
      </w:r>
      <w:r w:rsidR="00244C83">
        <w:t>’</w:t>
      </w:r>
      <w:r w:rsidR="00244C83" w:rsidRPr="00730802">
        <w:t>effectivité et la primauté des règles communes</w:t>
      </w:r>
      <w:r w:rsidR="00244C83">
        <w:t xml:space="preserve"> – deux caractéristiques inhérentes au projet communautaire</w:t>
      </w:r>
      <w:r w:rsidR="008D1047" w:rsidRPr="00730802">
        <w:t>.</w:t>
      </w:r>
      <w:r w:rsidRPr="00730802">
        <w:t xml:space="preserve"> </w:t>
      </w:r>
    </w:p>
    <w:p w14:paraId="5DBE6AFB" w14:textId="595AE962" w:rsidR="000055F4" w:rsidRDefault="008C39F5" w:rsidP="008D2222">
      <w:r>
        <w:t>En définitive, pour tenir son rôle dans l</w:t>
      </w:r>
      <w:r w:rsidR="005775D7">
        <w:t>’</w:t>
      </w:r>
      <w:r>
        <w:t xml:space="preserve">intégration, la reconnaissance mutuelle doit donc fonctionner </w:t>
      </w:r>
      <w:r w:rsidR="003C275F">
        <w:t>sur le fil d</w:t>
      </w:r>
      <w:r w:rsidR="005775D7">
        <w:t>’</w:t>
      </w:r>
      <w:r w:rsidR="003C275F">
        <w:t>un équilibre complexe à situer et à maintenir, entre l</w:t>
      </w:r>
      <w:r w:rsidR="005775D7">
        <w:t>’</w:t>
      </w:r>
      <w:r w:rsidR="003C275F">
        <w:t>affirmation d</w:t>
      </w:r>
      <w:r w:rsidR="005775D7">
        <w:t>’</w:t>
      </w:r>
      <w:r w:rsidR="003C275F">
        <w:t>une exigence d</w:t>
      </w:r>
      <w:r w:rsidR="005775D7">
        <w:t>’</w:t>
      </w:r>
      <w:r w:rsidR="003C275F">
        <w:t xml:space="preserve">ouverture imposée aux Etats et le respect de </w:t>
      </w:r>
      <w:r w:rsidR="008D2222">
        <w:t>leurs préoccupations légitimes</w:t>
      </w:r>
      <w:r w:rsidR="000055F4">
        <w:t xml:space="preserve"> </w:t>
      </w:r>
      <w:r w:rsidR="000055F4">
        <w:rPr>
          <w:i/>
        </w:rPr>
        <w:t xml:space="preserve">au sein </w:t>
      </w:r>
      <w:r w:rsidR="000055F4" w:rsidRPr="00635032">
        <w:t>du droit de l</w:t>
      </w:r>
      <w:r w:rsidR="005775D7">
        <w:t>’</w:t>
      </w:r>
      <w:r w:rsidR="000055F4" w:rsidRPr="00635032">
        <w:t>Union</w:t>
      </w:r>
      <w:r w:rsidR="008D2222">
        <w:t>. T</w:t>
      </w:r>
      <w:r w:rsidR="003C275F">
        <w:t xml:space="preserve">oute la difficulté </w:t>
      </w:r>
      <w:r w:rsidR="008D2222">
        <w:t>de la mission confiée au</w:t>
      </w:r>
      <w:r w:rsidR="003C275F">
        <w:t xml:space="preserve"> juge de l</w:t>
      </w:r>
      <w:r w:rsidR="005775D7">
        <w:t>’</w:t>
      </w:r>
      <w:r w:rsidR="003C275F">
        <w:t>Union</w:t>
      </w:r>
      <w:r w:rsidR="008D2222">
        <w:t xml:space="preserve"> ressort </w:t>
      </w:r>
      <w:r w:rsidR="000055F4">
        <w:t>d</w:t>
      </w:r>
      <w:r w:rsidR="008D2222">
        <w:t xml:space="preserve">ans la question du </w:t>
      </w:r>
      <w:r w:rsidR="000055F4">
        <w:t>caractère</w:t>
      </w:r>
      <w:r w:rsidR="008D2222">
        <w:t xml:space="preserve"> partagée des valeurs fondamentales</w:t>
      </w:r>
      <w:r w:rsidR="005561B8">
        <w:t xml:space="preserve"> aujourd</w:t>
      </w:r>
      <w:r w:rsidR="005775D7">
        <w:t>’</w:t>
      </w:r>
      <w:r w:rsidR="005561B8">
        <w:t>hui</w:t>
      </w:r>
      <w:r w:rsidR="008D2222">
        <w:t xml:space="preserve"> désignées par l</w:t>
      </w:r>
      <w:r w:rsidR="005775D7">
        <w:t>’</w:t>
      </w:r>
      <w:r w:rsidR="000055F4">
        <w:t>article 2 </w:t>
      </w:r>
      <w:r w:rsidR="008D2222">
        <w:t>TUE</w:t>
      </w:r>
      <w:r w:rsidR="00221844">
        <w:rPr>
          <w:rStyle w:val="Appelnotedebasdep"/>
        </w:rPr>
        <w:footnoteReference w:id="80"/>
      </w:r>
      <w:r w:rsidR="00947C3F">
        <w:t>. Au nom d</w:t>
      </w:r>
      <w:r w:rsidR="005561B8">
        <w:t>e</w:t>
      </w:r>
      <w:r w:rsidR="000055F4">
        <w:t>s droits et principes supérieurs commun</w:t>
      </w:r>
      <w:r w:rsidR="00635032">
        <w:t xml:space="preserve">s, ou supposés tels, </w:t>
      </w:r>
      <w:r w:rsidR="000055F4">
        <w:t>que l</w:t>
      </w:r>
      <w:r w:rsidR="005775D7">
        <w:t>’</w:t>
      </w:r>
      <w:r w:rsidR="000055F4">
        <w:t>auto</w:t>
      </w:r>
      <w:r w:rsidR="00947C3F">
        <w:t xml:space="preserve">maticité de la reconnaissance a </w:t>
      </w:r>
      <w:r w:rsidR="000055F4">
        <w:t>vocation à s</w:t>
      </w:r>
      <w:r w:rsidR="005775D7">
        <w:t>’</w:t>
      </w:r>
      <w:r w:rsidR="00635032">
        <w:t>incliner</w:t>
      </w:r>
      <w:r w:rsidR="00947C3F">
        <w:t xml:space="preserve"> sans trop de difficultés. Toute diff</w:t>
      </w:r>
      <w:r w:rsidR="00C24198">
        <w:t>érente est la situation</w:t>
      </w:r>
      <w:r w:rsidR="00947C3F">
        <w:t xml:space="preserve"> où cette exemption est invoquée au profit</w:t>
      </w:r>
      <w:r w:rsidR="005561B8">
        <w:t xml:space="preserve"> d</w:t>
      </w:r>
      <w:r w:rsidR="005775D7">
        <w:t>’</w:t>
      </w:r>
      <w:r w:rsidR="005561B8">
        <w:t>exigences nationales insusceptibles de s</w:t>
      </w:r>
      <w:r w:rsidR="005775D7">
        <w:t>’</w:t>
      </w:r>
      <w:r w:rsidR="005561B8">
        <w:t>y rattacher</w:t>
      </w:r>
      <w:r w:rsidR="00635032">
        <w:rPr>
          <w:rStyle w:val="Appelnotedebasdep"/>
        </w:rPr>
        <w:footnoteReference w:id="81"/>
      </w:r>
      <w:r w:rsidR="00A83695" w:rsidRPr="00221844">
        <w:t>.</w:t>
      </w:r>
      <w:r w:rsidR="00904C80">
        <w:t xml:space="preserve"> </w:t>
      </w:r>
      <w:r w:rsidR="005561B8">
        <w:t>Or</w:t>
      </w:r>
      <w:r w:rsidR="00E439FA">
        <w:t>, il s</w:t>
      </w:r>
      <w:r w:rsidR="005775D7">
        <w:t>’</w:t>
      </w:r>
      <w:r w:rsidR="00E439FA">
        <w:t xml:space="preserve">est produit </w:t>
      </w:r>
      <w:r w:rsidR="00947C3F">
        <w:t xml:space="preserve">sur cette question </w:t>
      </w:r>
      <w:r w:rsidR="00B26F09">
        <w:t>trois</w:t>
      </w:r>
      <w:r w:rsidR="00E439FA">
        <w:t xml:space="preserve"> phénomènes</w:t>
      </w:r>
      <w:r w:rsidR="00635032">
        <w:t xml:space="preserve"> </w:t>
      </w:r>
      <w:r w:rsidR="00E439FA">
        <w:t>qui rendent aujourd</w:t>
      </w:r>
      <w:r w:rsidR="005775D7">
        <w:t>’</w:t>
      </w:r>
      <w:r w:rsidR="00E439FA">
        <w:t xml:space="preserve">hui la mise en œuvre de la reconnaissance mutuelle plus </w:t>
      </w:r>
      <w:r w:rsidR="00027AA6">
        <w:t>complexe</w:t>
      </w:r>
      <w:r w:rsidR="00635032">
        <w:t xml:space="preserve"> et ses enjeux plus prégnants, dans la mesure où ils </w:t>
      </w:r>
      <w:r w:rsidR="00B444FD">
        <w:t>sont susceptibles de remettre en cause l</w:t>
      </w:r>
      <w:r w:rsidR="005775D7">
        <w:t>’</w:t>
      </w:r>
      <w:r w:rsidR="000055F4">
        <w:t>e</w:t>
      </w:r>
      <w:r w:rsidR="008D2222">
        <w:t xml:space="preserve">ffet immédiat </w:t>
      </w:r>
      <w:r w:rsidR="00635032">
        <w:t>normalement attaché à ce mécanisme</w:t>
      </w:r>
      <w:r w:rsidR="00E439FA">
        <w:t xml:space="preserve">. </w:t>
      </w:r>
    </w:p>
    <w:p w14:paraId="48900692" w14:textId="549A6D90" w:rsidR="00B26F09" w:rsidRDefault="000055F4" w:rsidP="00B26F09">
      <w:r>
        <w:t>Tout d</w:t>
      </w:r>
      <w:r w:rsidR="005775D7">
        <w:t>’</w:t>
      </w:r>
      <w:r w:rsidR="00E439FA">
        <w:t xml:space="preserve">abord, la sollicitation des valeurs fondamentales </w:t>
      </w:r>
      <w:r>
        <w:t xml:space="preserve">des Etats membres </w:t>
      </w:r>
      <w:r w:rsidR="005C6DB8">
        <w:t xml:space="preserve">par le biais de leur identité constitutionnelle </w:t>
      </w:r>
      <w:r w:rsidR="00E439FA">
        <w:t>a mis à jour des différences dans l</w:t>
      </w:r>
      <w:r w:rsidR="005775D7">
        <w:t>’</w:t>
      </w:r>
      <w:r w:rsidR="00E439FA">
        <w:t>appréhension concrète des principes de la démocratie et de l</w:t>
      </w:r>
      <w:r w:rsidR="005775D7">
        <w:t>’</w:t>
      </w:r>
      <w:r w:rsidR="00E439FA">
        <w:t>Etat de droit</w:t>
      </w:r>
      <w:r w:rsidR="00947C3F">
        <w:t xml:space="preserve"> qui sont pourtant censés être pleinement partagés</w:t>
      </w:r>
      <w:r w:rsidR="00E439FA">
        <w:rPr>
          <w:rStyle w:val="Appelnotedebasdep"/>
        </w:rPr>
        <w:footnoteReference w:id="82"/>
      </w:r>
      <w:r w:rsidR="00E439FA">
        <w:t xml:space="preserve">. </w:t>
      </w:r>
      <w:r w:rsidR="006E61E0">
        <w:t>A</w:t>
      </w:r>
      <w:r w:rsidR="00530D42">
        <w:t xml:space="preserve">lors que </w:t>
      </w:r>
      <w:r w:rsidR="005561B8">
        <w:t>l</w:t>
      </w:r>
      <w:r w:rsidR="005775D7">
        <w:t>’</w:t>
      </w:r>
      <w:r w:rsidR="005561B8">
        <w:t xml:space="preserve">attitude </w:t>
      </w:r>
      <w:r w:rsidR="00530D42">
        <w:t>de la Hongrie et de la Pologne</w:t>
      </w:r>
      <w:r w:rsidR="00E439FA">
        <w:t xml:space="preserve"> interroge</w:t>
      </w:r>
      <w:r w:rsidR="00C24198">
        <w:t xml:space="preserve"> ainsi</w:t>
      </w:r>
      <w:r w:rsidR="00E439FA">
        <w:t xml:space="preserve"> la réalité de cette </w:t>
      </w:r>
      <w:r w:rsidR="00E439FA">
        <w:lastRenderedPageBreak/>
        <w:t>communauté axiologique</w:t>
      </w:r>
      <w:r w:rsidR="006E61E0">
        <w:t xml:space="preserve"> proclamée</w:t>
      </w:r>
      <w:r w:rsidR="00947C3F">
        <w:t xml:space="preserve"> par les traités comme par la jurisprudence</w:t>
      </w:r>
      <w:r w:rsidR="00E439FA">
        <w:rPr>
          <w:rStyle w:val="Appelnotedebasdep"/>
        </w:rPr>
        <w:footnoteReference w:id="83"/>
      </w:r>
      <w:r w:rsidR="00530D42">
        <w:t>, l</w:t>
      </w:r>
      <w:r w:rsidR="005775D7">
        <w:t>’</w:t>
      </w:r>
      <w:r w:rsidR="00530D42">
        <w:t xml:space="preserve">on peut </w:t>
      </w:r>
      <w:r w:rsidR="00B444FD">
        <w:t xml:space="preserve">en outre </w:t>
      </w:r>
      <w:r w:rsidR="00530D42">
        <w:t xml:space="preserve">craindre </w:t>
      </w:r>
      <w:r w:rsidR="00947C3F">
        <w:t>que les Etats cherchent</w:t>
      </w:r>
      <w:r w:rsidR="00530D42">
        <w:t xml:space="preserve"> à tirer profit </w:t>
      </w:r>
      <w:r w:rsidR="005C6DB8">
        <w:t>de cette « </w:t>
      </w:r>
      <w:proofErr w:type="spellStart"/>
      <w:r w:rsidR="005C6DB8">
        <w:t>dyshomogénéité</w:t>
      </w:r>
      <w:proofErr w:type="spellEnd"/>
      <w:r w:rsidR="005C6DB8">
        <w:t> »</w:t>
      </w:r>
      <w:r w:rsidR="00530D42">
        <w:t xml:space="preserve">. A cet égard, </w:t>
      </w:r>
      <w:proofErr w:type="spellStart"/>
      <w:r w:rsidR="00530D42">
        <w:t>Clauss</w:t>
      </w:r>
      <w:proofErr w:type="spellEnd"/>
      <w:r w:rsidR="00530D42">
        <w:t xml:space="preserve"> Dieter </w:t>
      </w:r>
      <w:proofErr w:type="spellStart"/>
      <w:r w:rsidR="00530D42">
        <w:t>Classen</w:t>
      </w:r>
      <w:proofErr w:type="spellEnd"/>
      <w:r w:rsidR="00530D42">
        <w:t xml:space="preserve"> </w:t>
      </w:r>
      <w:r w:rsidR="006E61E0">
        <w:t>souligne que la</w:t>
      </w:r>
      <w:r w:rsidR="00E439FA">
        <w:t xml:space="preserve"> </w:t>
      </w:r>
      <w:r w:rsidR="00530D42">
        <w:t>Cour constitutionnelle allemande</w:t>
      </w:r>
      <w:r w:rsidR="005C6DB8">
        <w:t>,</w:t>
      </w:r>
      <w:r w:rsidR="00530D42">
        <w:t xml:space="preserve"> </w:t>
      </w:r>
      <w:r w:rsidR="006E61E0">
        <w:t>dans une décision du 1</w:t>
      </w:r>
      <w:r w:rsidR="00E439FA">
        <w:t xml:space="preserve">5 décembre 2015 </w:t>
      </w:r>
      <w:r w:rsidR="006E61E0">
        <w:t>relative au</w:t>
      </w:r>
      <w:r w:rsidR="00530D42">
        <w:t xml:space="preserve"> mandat d</w:t>
      </w:r>
      <w:r w:rsidR="005775D7">
        <w:t>’</w:t>
      </w:r>
      <w:r w:rsidR="00530D42">
        <w:t>arrêt européen</w:t>
      </w:r>
      <w:r w:rsidR="005C6DB8">
        <w:t>,</w:t>
      </w:r>
      <w:r w:rsidR="00530D42">
        <w:t xml:space="preserve"> </w:t>
      </w:r>
      <w:r w:rsidR="006E61E0">
        <w:t>a délibérément omis le fait que</w:t>
      </w:r>
      <w:r w:rsidR="00E439FA">
        <w:t xml:space="preserve"> </w:t>
      </w:r>
      <w:r w:rsidR="006E61E0">
        <w:t xml:space="preserve">la </w:t>
      </w:r>
      <w:r w:rsidR="00E439FA">
        <w:t>dignité humaine, l</w:t>
      </w:r>
      <w:r w:rsidR="005775D7">
        <w:t>’</w:t>
      </w:r>
      <w:r w:rsidR="00E439FA">
        <w:t>Etat de droit et le droit à un procès équitable sont des valeurs communes à toute l</w:t>
      </w:r>
      <w:r w:rsidR="005775D7">
        <w:t>’</w:t>
      </w:r>
      <w:r w:rsidR="00E439FA">
        <w:t>Europe</w:t>
      </w:r>
      <w:r w:rsidR="006C62BB">
        <w:t>. Pour les juridictions internes, l</w:t>
      </w:r>
      <w:r w:rsidR="006C62BB" w:rsidRPr="006C62BB">
        <w:t>a contestati</w:t>
      </w:r>
      <w:r w:rsidR="006C62BB">
        <w:t xml:space="preserve">on de la confiance mutuelle </w:t>
      </w:r>
      <w:r w:rsidR="001A4C6C">
        <w:t>au nom de leur identité pourrait constituer un</w:t>
      </w:r>
      <w:r w:rsidR="006C62BB" w:rsidRPr="006C62BB">
        <w:t xml:space="preserve"> prétexte à l</w:t>
      </w:r>
      <w:r w:rsidR="005775D7">
        <w:t>’</w:t>
      </w:r>
      <w:r w:rsidR="006C62BB" w:rsidRPr="006C62BB">
        <w:t>expression « d</w:t>
      </w:r>
      <w:r w:rsidR="005775D7">
        <w:t>’</w:t>
      </w:r>
      <w:r w:rsidR="006C62BB" w:rsidRPr="006C62BB">
        <w:t>un ce</w:t>
      </w:r>
      <w:r w:rsidR="006C62BB">
        <w:t>rtain souverainisme juridique »</w:t>
      </w:r>
      <w:r w:rsidR="006C62BB">
        <w:rPr>
          <w:rStyle w:val="Appelnotedebasdep"/>
        </w:rPr>
        <w:footnoteReference w:id="84"/>
      </w:r>
      <w:r w:rsidR="006C62BB">
        <w:t xml:space="preserve"> et à l</w:t>
      </w:r>
      <w:r w:rsidR="005775D7">
        <w:t>’</w:t>
      </w:r>
      <w:r w:rsidR="006C62BB">
        <w:t>affirmation de l</w:t>
      </w:r>
      <w:r w:rsidR="005775D7">
        <w:t>’</w:t>
      </w:r>
      <w:r w:rsidR="005C6DB8">
        <w:t xml:space="preserve">autonomie de </w:t>
      </w:r>
      <w:r w:rsidR="006C62BB">
        <w:t>leur</w:t>
      </w:r>
      <w:r w:rsidR="005C6DB8">
        <w:t xml:space="preserve"> pouvoir</w:t>
      </w:r>
      <w:r w:rsidR="00C24198">
        <w:t xml:space="preserve"> de dire le droit</w:t>
      </w:r>
      <w:r w:rsidR="00E439FA">
        <w:rPr>
          <w:rStyle w:val="Appelnotedebasdep"/>
        </w:rPr>
        <w:footnoteReference w:id="85"/>
      </w:r>
      <w:r w:rsidR="00E439FA">
        <w:t>.</w:t>
      </w:r>
    </w:p>
    <w:p w14:paraId="4910D5B0" w14:textId="656C3380" w:rsidR="00B26F09" w:rsidRDefault="00B26F09" w:rsidP="006E61E0">
      <w:r>
        <w:t>Ensuite, l</w:t>
      </w:r>
      <w:r w:rsidR="005775D7">
        <w:t>’</w:t>
      </w:r>
      <w:r>
        <w:t>articulation entre les ordres juridiques qu</w:t>
      </w:r>
      <w:r w:rsidR="005775D7">
        <w:t>’</w:t>
      </w:r>
      <w:r>
        <w:t>implique la « circulation des situations » met en réalité en rapport non pas deux</w:t>
      </w:r>
      <w:r w:rsidR="0043582C">
        <w:t>,</w:t>
      </w:r>
      <w:r>
        <w:t xml:space="preserve"> mais trois systèmes juridiques. </w:t>
      </w:r>
      <w:r w:rsidR="0043582C">
        <w:t>Dans ce contexte, l</w:t>
      </w:r>
      <w:r>
        <w:t>a Cour européenne des droits de l</w:t>
      </w:r>
      <w:r w:rsidR="005775D7">
        <w:t>’</w:t>
      </w:r>
      <w:r>
        <w:t xml:space="preserve">homme a accordé </w:t>
      </w:r>
      <w:r w:rsidR="00A20DFD">
        <w:t>une présomption simple</w:t>
      </w:r>
      <w:r>
        <w:t xml:space="preserve"> d</w:t>
      </w:r>
      <w:r w:rsidR="005775D7">
        <w:t>’</w:t>
      </w:r>
      <w:r>
        <w:t>équivalence dans la protection des droits fondamentaux de nature à permettre, en principe, le bon fonctionnement des mécanismes de reconnaissance mutuelle</w:t>
      </w:r>
      <w:r>
        <w:rPr>
          <w:rStyle w:val="Appelnotedebasdep"/>
        </w:rPr>
        <w:footnoteReference w:id="86"/>
      </w:r>
      <w:r>
        <w:t xml:space="preserve">. </w:t>
      </w:r>
      <w:r w:rsidR="00634778">
        <w:t>Tel est le cas par exemple à propos de la coopération en matière civile</w:t>
      </w:r>
      <w:r w:rsidR="00634778">
        <w:rPr>
          <w:rStyle w:val="Appelnotedebasdep"/>
        </w:rPr>
        <w:footnoteReference w:id="87"/>
      </w:r>
      <w:r w:rsidR="00634778">
        <w:t xml:space="preserve">. </w:t>
      </w:r>
      <w:r>
        <w:t>Toutefois, il e</w:t>
      </w:r>
      <w:r w:rsidR="00A032D5">
        <w:t>st certain que la volonté du juge de Strasbourg</w:t>
      </w:r>
      <w:r>
        <w:t xml:space="preserve"> de fa</w:t>
      </w:r>
      <w:r w:rsidR="00634778">
        <w:t xml:space="preserve">ire coexister pacifiquement les ordres juridiques connaît des limites. </w:t>
      </w:r>
      <w:r w:rsidR="00A032D5">
        <w:t>Celui-ci</w:t>
      </w:r>
      <w:r>
        <w:t xml:space="preserve"> s</w:t>
      </w:r>
      <w:r w:rsidR="005775D7">
        <w:t>’</w:t>
      </w:r>
      <w:r>
        <w:t xml:space="preserve">attache en effet à poser </w:t>
      </w:r>
      <w:r w:rsidRPr="00634778">
        <w:t>« </w:t>
      </w:r>
      <w:r w:rsidRPr="00634778">
        <w:rPr>
          <w:lang w:eastAsia="fr-FR"/>
        </w:rPr>
        <w:t>de manière précise les limites de la reconnaissance mutuelle »</w:t>
      </w:r>
      <w:r w:rsidRPr="00634778">
        <w:rPr>
          <w:rStyle w:val="Appelnotedebasdep"/>
          <w:lang w:eastAsia="fr-FR"/>
        </w:rPr>
        <w:footnoteReference w:id="88"/>
      </w:r>
      <w:r w:rsidR="00634778" w:rsidRPr="00634778">
        <w:rPr>
          <w:lang w:eastAsia="fr-FR"/>
        </w:rPr>
        <w:t xml:space="preserve">, et </w:t>
      </w:r>
      <w:r w:rsidR="00A032D5">
        <w:rPr>
          <w:lang w:eastAsia="fr-FR"/>
        </w:rPr>
        <w:t>il</w:t>
      </w:r>
      <w:r w:rsidR="00634778" w:rsidRPr="00634778">
        <w:rPr>
          <w:lang w:eastAsia="fr-FR"/>
        </w:rPr>
        <w:t xml:space="preserve"> a rappelé </w:t>
      </w:r>
      <w:r w:rsidRPr="00634778">
        <w:rPr>
          <w:lang w:eastAsia="fr-FR"/>
        </w:rPr>
        <w:t>dans</w:t>
      </w:r>
      <w:r w:rsidRPr="00634778">
        <w:rPr>
          <w:rStyle w:val="Accentuation"/>
          <w:rFonts w:eastAsiaTheme="majorEastAsia" w:cs="Times New Roman"/>
          <w:szCs w:val="24"/>
          <w:lang w:eastAsia="fr-FR"/>
        </w:rPr>
        <w:t xml:space="preserve"> </w:t>
      </w:r>
      <w:r w:rsidRPr="00634778">
        <w:t>l</w:t>
      </w:r>
      <w:r w:rsidR="005775D7">
        <w:t>’</w:t>
      </w:r>
      <w:r w:rsidRPr="00634778">
        <w:t>arrêt</w:t>
      </w:r>
      <w:r w:rsidRPr="00634778">
        <w:rPr>
          <w:i/>
        </w:rPr>
        <w:t xml:space="preserve"> </w:t>
      </w:r>
      <w:proofErr w:type="spellStart"/>
      <w:r w:rsidRPr="00634778">
        <w:rPr>
          <w:i/>
        </w:rPr>
        <w:t>Avotins</w:t>
      </w:r>
      <w:proofErr w:type="spellEnd"/>
      <w:r w:rsidRPr="00634778">
        <w:rPr>
          <w:i/>
        </w:rPr>
        <w:t xml:space="preserve"> </w:t>
      </w:r>
      <w:r w:rsidRPr="00634778">
        <w:rPr>
          <w:lang w:eastAsia="fr-FR"/>
        </w:rPr>
        <w:t>que la Convention est l</w:t>
      </w:r>
      <w:r w:rsidR="005775D7">
        <w:rPr>
          <w:lang w:eastAsia="fr-FR"/>
        </w:rPr>
        <w:t>’</w:t>
      </w:r>
      <w:r w:rsidRPr="00634778">
        <w:rPr>
          <w:lang w:eastAsia="fr-FR"/>
        </w:rPr>
        <w:t> « instrument constitutionn</w:t>
      </w:r>
      <w:r w:rsidR="0043582C">
        <w:rPr>
          <w:lang w:eastAsia="fr-FR"/>
        </w:rPr>
        <w:t>el de l</w:t>
      </w:r>
      <w:r w:rsidR="005775D7">
        <w:rPr>
          <w:lang w:eastAsia="fr-FR"/>
        </w:rPr>
        <w:t>’</w:t>
      </w:r>
      <w:r w:rsidR="0043582C">
        <w:rPr>
          <w:lang w:eastAsia="fr-FR"/>
        </w:rPr>
        <w:t>ordre public européen »,</w:t>
      </w:r>
      <w:r w:rsidRPr="00634778">
        <w:rPr>
          <w:lang w:eastAsia="fr-FR"/>
        </w:rPr>
        <w:t xml:space="preserve"> avant d</w:t>
      </w:r>
      <w:r w:rsidR="005775D7">
        <w:rPr>
          <w:lang w:eastAsia="fr-FR"/>
        </w:rPr>
        <w:t>’</w:t>
      </w:r>
      <w:r w:rsidRPr="00634778">
        <w:rPr>
          <w:lang w:eastAsia="fr-FR"/>
        </w:rPr>
        <w:t xml:space="preserve">affirmer </w:t>
      </w:r>
      <w:r w:rsidRPr="00634778">
        <w:t>que « les dispositifs de l</w:t>
      </w:r>
      <w:r w:rsidR="005775D7">
        <w:t>’</w:t>
      </w:r>
      <w:r w:rsidRPr="00634778">
        <w:t>Union européenne [fondés sur la reconnaissance mutuelle] qui limitent à des hypothèses étroites l</w:t>
      </w:r>
      <w:r w:rsidR="005775D7">
        <w:t>’</w:t>
      </w:r>
      <w:r w:rsidRPr="00634778">
        <w:t>invocation du respect des droits fondamentaux doivent être tenus en échec, dès lors que l</w:t>
      </w:r>
      <w:r w:rsidR="005775D7">
        <w:t>’</w:t>
      </w:r>
      <w:r w:rsidRPr="00634778">
        <w:t>on est en présence “d</w:t>
      </w:r>
      <w:r w:rsidR="005775D7">
        <w:t>’</w:t>
      </w:r>
      <w:r w:rsidRPr="00634778">
        <w:t>une insuffisance manifeste de protection d</w:t>
      </w:r>
      <w:r w:rsidR="005775D7">
        <w:t>’</w:t>
      </w:r>
      <w:r w:rsidRPr="00634778">
        <w:t>un droit garanti par la Convention et que le droit de l</w:t>
      </w:r>
      <w:r w:rsidR="005775D7">
        <w:t>’</w:t>
      </w:r>
      <w:r w:rsidRPr="00634778">
        <w:t>Union européenne ne permet pas de remédier à cette insuffisance” »</w:t>
      </w:r>
      <w:r w:rsidRPr="00634778">
        <w:rPr>
          <w:rStyle w:val="Appelnotedebasdep"/>
        </w:rPr>
        <w:footnoteReference w:id="89"/>
      </w:r>
      <w:r w:rsidR="00634778">
        <w:rPr>
          <w:rStyle w:val="Accentuation"/>
          <w:i w:val="0"/>
          <w:iCs w:val="0"/>
        </w:rPr>
        <w:t>.</w:t>
      </w:r>
    </w:p>
    <w:p w14:paraId="3346DB08" w14:textId="17AD7F51" w:rsidR="00737EE2" w:rsidRDefault="00B26F09" w:rsidP="00B444FD">
      <w:r>
        <w:lastRenderedPageBreak/>
        <w:t>Enfin</w:t>
      </w:r>
      <w:r w:rsidR="00396AD3">
        <w:t>, en</w:t>
      </w:r>
      <w:r w:rsidR="006E61E0">
        <w:t xml:space="preserve"> contrefeu</w:t>
      </w:r>
      <w:r w:rsidR="00B444FD">
        <w:t xml:space="preserve"> </w:t>
      </w:r>
      <w:r>
        <w:t>aux deux phénomènes précédents</w:t>
      </w:r>
      <w:r w:rsidR="006E61E0">
        <w:t xml:space="preserve">, il semble </w:t>
      </w:r>
      <w:r w:rsidR="00E439FA">
        <w:t>qu</w:t>
      </w:r>
      <w:r w:rsidR="005775D7">
        <w:t>’</w:t>
      </w:r>
      <w:r w:rsidR="00E439FA">
        <w:t>après avoir adopté une position très stricte sur la question de l</w:t>
      </w:r>
      <w:r w:rsidR="005775D7">
        <w:t>’</w:t>
      </w:r>
      <w:r w:rsidR="00E439FA">
        <w:t>articulation entre l</w:t>
      </w:r>
      <w:r w:rsidR="005775D7">
        <w:t>’</w:t>
      </w:r>
      <w:r w:rsidR="00E439FA">
        <w:t xml:space="preserve">automaticité </w:t>
      </w:r>
      <w:r w:rsidR="00027AA6">
        <w:t xml:space="preserve">de la reconnaissance mutuelle </w:t>
      </w:r>
      <w:r w:rsidR="003B049D">
        <w:t xml:space="preserve">et les droits fondamentaux dans les domaines régis par le droit dérivé, </w:t>
      </w:r>
      <w:r w:rsidR="00396AD3">
        <w:t>le juge de l</w:t>
      </w:r>
      <w:r w:rsidR="005775D7">
        <w:t>’</w:t>
      </w:r>
      <w:r w:rsidR="00396AD3">
        <w:t xml:space="preserve">Union </w:t>
      </w:r>
      <w:r w:rsidR="0050666D">
        <w:t>fasse</w:t>
      </w:r>
      <w:r w:rsidR="00027AA6">
        <w:t xml:space="preserve"> aujourd</w:t>
      </w:r>
      <w:r w:rsidR="005775D7">
        <w:t>’</w:t>
      </w:r>
      <w:r w:rsidR="00027AA6">
        <w:t>hui preuve d</w:t>
      </w:r>
      <w:r w:rsidR="005775D7">
        <w:t>’</w:t>
      </w:r>
      <w:r w:rsidR="00027AA6">
        <w:t xml:space="preserve">une plus grande attention </w:t>
      </w:r>
      <w:r w:rsidR="00E85E50">
        <w:t>vis-à-vis des</w:t>
      </w:r>
      <w:r w:rsidR="00027AA6">
        <w:t xml:space="preserve"> arguments exposés par les Etats. Ainsi, s</w:t>
      </w:r>
      <w:r w:rsidR="005775D7">
        <w:t>’</w:t>
      </w:r>
      <w:r w:rsidR="00027AA6">
        <w:t xml:space="preserve">agissant </w:t>
      </w:r>
      <w:r w:rsidR="00E439FA">
        <w:t>du mandat d</w:t>
      </w:r>
      <w:r w:rsidR="005775D7">
        <w:t>’</w:t>
      </w:r>
      <w:r w:rsidR="00E439FA">
        <w:t>arrêt européen et la garantie des droits des individus</w:t>
      </w:r>
      <w:r w:rsidR="00D07D1C">
        <w:rPr>
          <w:rStyle w:val="Appelnotedebasdep"/>
        </w:rPr>
        <w:footnoteReference w:id="90"/>
      </w:r>
      <w:r w:rsidR="00E439FA">
        <w:t xml:space="preserve">, </w:t>
      </w:r>
      <w:r w:rsidR="003B049D">
        <w:t>malgré</w:t>
      </w:r>
      <w:r w:rsidR="00027AA6">
        <w:t xml:space="preserve"> la sévérité dont </w:t>
      </w:r>
      <w:r w:rsidR="00B444FD">
        <w:t>la Cour</w:t>
      </w:r>
      <w:r w:rsidR="00027AA6">
        <w:t xml:space="preserve"> a </w:t>
      </w:r>
      <w:r w:rsidR="00B444FD">
        <w:t xml:space="preserve">pu faire </w:t>
      </w:r>
      <w:r w:rsidR="00027AA6">
        <w:t>preuve</w:t>
      </w:r>
      <w:r w:rsidR="004E64DA">
        <w:t>,</w:t>
      </w:r>
      <w:r w:rsidR="00E439FA">
        <w:t xml:space="preserve"> </w:t>
      </w:r>
      <w:r w:rsidR="003B049D">
        <w:t xml:space="preserve">parfois </w:t>
      </w:r>
      <w:r w:rsidR="00E439FA">
        <w:t>contre l</w:t>
      </w:r>
      <w:r w:rsidR="005775D7">
        <w:t>’</w:t>
      </w:r>
      <w:r w:rsidR="008E60FA">
        <w:t>avis de s</w:t>
      </w:r>
      <w:r w:rsidR="00E439FA">
        <w:t>es avocats généraux</w:t>
      </w:r>
      <w:r w:rsidR="00D07D1C" w:rsidRPr="00D07D1C">
        <w:rPr>
          <w:vertAlign w:val="superscript"/>
        </w:rPr>
        <w:footnoteReference w:id="91"/>
      </w:r>
      <w:r w:rsidR="00E439FA">
        <w:t xml:space="preserve">, </w:t>
      </w:r>
      <w:r w:rsidR="00B444FD">
        <w:t>elle</w:t>
      </w:r>
      <w:r w:rsidR="00027AA6">
        <w:t xml:space="preserve"> semble avoir </w:t>
      </w:r>
      <w:r w:rsidR="00B444FD">
        <w:t>donné à sa jurisprudence</w:t>
      </w:r>
      <w:r w:rsidR="00027AA6">
        <w:t xml:space="preserve"> u</w:t>
      </w:r>
      <w:r w:rsidR="00E439FA">
        <w:t xml:space="preserve">ne inflexion </w:t>
      </w:r>
      <w:r w:rsidR="00027AA6">
        <w:t>depuis</w:t>
      </w:r>
      <w:r w:rsidR="00E85E50">
        <w:t xml:space="preserve"> l</w:t>
      </w:r>
      <w:r w:rsidR="005775D7">
        <w:t>’</w:t>
      </w:r>
      <w:r w:rsidR="00E85E50">
        <w:t xml:space="preserve">affaire </w:t>
      </w:r>
      <w:r w:rsidR="00027AA6" w:rsidRPr="00027AA6">
        <w:rPr>
          <w:i/>
        </w:rPr>
        <w:t>Jeremy F</w:t>
      </w:r>
      <w:r w:rsidR="00E85E50" w:rsidRPr="00952E41">
        <w:t>.</w:t>
      </w:r>
      <w:r w:rsidR="00952E41" w:rsidRPr="00952E41">
        <w:rPr>
          <w:rStyle w:val="Appelnotedebasdep"/>
        </w:rPr>
        <w:footnoteReference w:id="92"/>
      </w:r>
      <w:r w:rsidR="00E85E50" w:rsidRPr="00952E41">
        <w:t>.</w:t>
      </w:r>
      <w:r w:rsidR="00E85E50">
        <w:rPr>
          <w:i/>
        </w:rPr>
        <w:t xml:space="preserve"> </w:t>
      </w:r>
      <w:r w:rsidR="00952E41">
        <w:t>A l</w:t>
      </w:r>
      <w:r w:rsidR="005775D7">
        <w:t>’</w:t>
      </w:r>
      <w:r w:rsidR="00952E41">
        <w:t>image de ce qu</w:t>
      </w:r>
      <w:r w:rsidR="005775D7">
        <w:t>’</w:t>
      </w:r>
      <w:r w:rsidR="00952E41">
        <w:t>elle avait déjà fait dans</w:t>
      </w:r>
      <w:r w:rsidR="00E85E50">
        <w:t xml:space="preserve"> l</w:t>
      </w:r>
      <w:r w:rsidR="005775D7">
        <w:t>’</w:t>
      </w:r>
      <w:r w:rsidR="00E85E50">
        <w:t xml:space="preserve">arrêt </w:t>
      </w:r>
      <w:r w:rsidR="00B444FD" w:rsidRPr="00952E41">
        <w:rPr>
          <w:i/>
        </w:rPr>
        <w:t>N.S.</w:t>
      </w:r>
      <w:r w:rsidR="00D8230F" w:rsidRPr="00952E41">
        <w:rPr>
          <w:rStyle w:val="Appelnotedebasdep"/>
        </w:rPr>
        <w:footnoteReference w:id="93"/>
      </w:r>
      <w:r w:rsidR="00952E41" w:rsidRPr="00952E41">
        <w:t xml:space="preserve">, </w:t>
      </w:r>
      <w:r w:rsidR="00952E41">
        <w:t>elle</w:t>
      </w:r>
      <w:r w:rsidR="008E60FA">
        <w:t xml:space="preserve"> a invité</w:t>
      </w:r>
      <w:r w:rsidR="00952E41">
        <w:t xml:space="preserve"> </w:t>
      </w:r>
      <w:r w:rsidR="00E85E50">
        <w:t xml:space="preserve">les Etats membres à tirer profit des marges de manœuvre que leur confère </w:t>
      </w:r>
      <w:r w:rsidR="00A83695">
        <w:t>le droit dérivé</w:t>
      </w:r>
      <w:r w:rsidR="00E85E50">
        <w:t xml:space="preserve"> pour assurer le respect des droits fondamentaux</w:t>
      </w:r>
      <w:r w:rsidR="00B444FD">
        <w:t>.</w:t>
      </w:r>
      <w:r w:rsidR="005775D7">
        <w:t xml:space="preserve"> </w:t>
      </w:r>
    </w:p>
    <w:p w14:paraId="04856ECD" w14:textId="2DF9F25F" w:rsidR="00A83695" w:rsidRDefault="00D8230F" w:rsidP="00A83695">
      <w:r>
        <w:t>Mais l</w:t>
      </w:r>
      <w:r w:rsidR="005775D7">
        <w:t>’</w:t>
      </w:r>
      <w:r>
        <w:t>évolution la plus significative intervient, s</w:t>
      </w:r>
      <w:r w:rsidRPr="00840D7C">
        <w:t>ous la pression combinée des juridictions nationales</w:t>
      </w:r>
      <w:r w:rsidRPr="00840D7C">
        <w:rPr>
          <w:rStyle w:val="Appelnotedebasdep"/>
          <w:bCs/>
        </w:rPr>
        <w:footnoteReference w:id="94"/>
      </w:r>
      <w:r w:rsidRPr="00840D7C">
        <w:t xml:space="preserve"> et de la CEDH</w:t>
      </w:r>
      <w:r>
        <w:rPr>
          <w:rStyle w:val="Appelnotedebasdep"/>
        </w:rPr>
        <w:footnoteReference w:id="95"/>
      </w:r>
      <w:r>
        <w:t>, après l</w:t>
      </w:r>
      <w:r w:rsidR="005775D7">
        <w:t>’</w:t>
      </w:r>
      <w:r>
        <w:t>avis 2/13. Le</w:t>
      </w:r>
      <w:r w:rsidR="00B444FD" w:rsidRPr="00B87AA8">
        <w:t xml:space="preserve">s arrêts </w:t>
      </w:r>
      <w:proofErr w:type="spellStart"/>
      <w:r w:rsidR="00B444FD" w:rsidRPr="00B87AA8">
        <w:rPr>
          <w:i/>
        </w:rPr>
        <w:t>Aranyosi</w:t>
      </w:r>
      <w:proofErr w:type="spellEnd"/>
      <w:r w:rsidR="00B444FD" w:rsidRPr="00B87AA8">
        <w:rPr>
          <w:i/>
        </w:rPr>
        <w:t xml:space="preserve"> et </w:t>
      </w:r>
      <w:proofErr w:type="spellStart"/>
      <w:r w:rsidR="00B444FD" w:rsidRPr="00B87AA8">
        <w:rPr>
          <w:i/>
        </w:rPr>
        <w:t>Căldăraru</w:t>
      </w:r>
      <w:proofErr w:type="spellEnd"/>
      <w:r w:rsidR="00B444FD" w:rsidRPr="00D8230F">
        <w:rPr>
          <w:rStyle w:val="Appelnotedebasdep"/>
        </w:rPr>
        <w:footnoteReference w:id="96"/>
      </w:r>
      <w:r w:rsidRPr="00D8230F">
        <w:t>,</w:t>
      </w:r>
      <w:r w:rsidR="00B444FD" w:rsidRPr="00B87AA8">
        <w:rPr>
          <w:i/>
        </w:rPr>
        <w:t xml:space="preserve"> </w:t>
      </w:r>
      <w:r w:rsidR="00B444FD" w:rsidRPr="00B87AA8">
        <w:t>d</w:t>
      </w:r>
      <w:r w:rsidR="005775D7">
        <w:t>’</w:t>
      </w:r>
      <w:r w:rsidR="00B444FD" w:rsidRPr="00B87AA8">
        <w:t>une part</w:t>
      </w:r>
      <w:r>
        <w:t>,</w:t>
      </w:r>
      <w:r w:rsidR="00B444FD" w:rsidRPr="00B87AA8">
        <w:t xml:space="preserve"> et </w:t>
      </w:r>
      <w:r w:rsidR="00B444FD" w:rsidRPr="00B87AA8">
        <w:rPr>
          <w:i/>
        </w:rPr>
        <w:t>C.K. c. Slovénie</w:t>
      </w:r>
      <w:r w:rsidRPr="00B444FD">
        <w:rPr>
          <w:rStyle w:val="Appelnotedebasdep"/>
        </w:rPr>
        <w:footnoteReference w:id="97"/>
      </w:r>
      <w:r>
        <w:t xml:space="preserve">, </w:t>
      </w:r>
      <w:r w:rsidR="00B444FD" w:rsidRPr="006D0BD0">
        <w:t>d</w:t>
      </w:r>
      <w:r w:rsidR="005775D7">
        <w:t>’</w:t>
      </w:r>
      <w:r w:rsidR="00B444FD" w:rsidRPr="006D0BD0">
        <w:t>autre part</w:t>
      </w:r>
      <w:r>
        <w:t xml:space="preserve"> (</w:t>
      </w:r>
      <w:r w:rsidR="00B444FD" w:rsidRPr="00840D7C">
        <w:t>rendus</w:t>
      </w:r>
      <w:r w:rsidR="00B444FD">
        <w:t xml:space="preserve"> respectivement</w:t>
      </w:r>
      <w:r w:rsidR="00B444FD" w:rsidRPr="00840D7C">
        <w:t xml:space="preserve"> dans le domaine de la coopération pénale et de l</w:t>
      </w:r>
      <w:r w:rsidR="005775D7">
        <w:t>’</w:t>
      </w:r>
      <w:r w:rsidR="00B444FD" w:rsidRPr="00840D7C">
        <w:t>asile</w:t>
      </w:r>
      <w:r>
        <w:t>)</w:t>
      </w:r>
      <w:r w:rsidR="00B444FD">
        <w:t>,</w:t>
      </w:r>
      <w:r w:rsidR="00B444FD" w:rsidRPr="00840D7C">
        <w:t xml:space="preserve"> </w:t>
      </w:r>
      <w:r>
        <w:t xml:space="preserve">paraissent avoir </w:t>
      </w:r>
      <w:r w:rsidR="0050666D">
        <w:t>donné corps à</w:t>
      </w:r>
      <w:r w:rsidR="00E85E50">
        <w:t xml:space="preserve"> l</w:t>
      </w:r>
      <w:r w:rsidR="005775D7">
        <w:t>’</w:t>
      </w:r>
      <w:r w:rsidR="008E60FA">
        <w:t>incis</w:t>
      </w:r>
      <w:r w:rsidR="00E85E50">
        <w:t xml:space="preserve">e opérée dans </w:t>
      </w:r>
      <w:r w:rsidR="00A83695">
        <w:t>ce dernier</w:t>
      </w:r>
      <w:r w:rsidR="00E85E50">
        <w:t xml:space="preserve"> à propos de la confiance mutuelle : « ce principe impose [...] de considérer, sauf dans des circonstances exceptionnelles, que tous les autres États membres respectent le droit de l</w:t>
      </w:r>
      <w:r w:rsidR="005775D7">
        <w:t>’</w:t>
      </w:r>
      <w:r w:rsidR="00E85E50">
        <w:t>Union et, tout particulièrement, les droits fondamentaux reconnus par ce droit »</w:t>
      </w:r>
      <w:r w:rsidR="00A83695">
        <w:rPr>
          <w:rStyle w:val="Appelnotedebasdep"/>
        </w:rPr>
        <w:footnoteReference w:id="98"/>
      </w:r>
      <w:r w:rsidR="00E85E50">
        <w:t xml:space="preserve">. </w:t>
      </w:r>
      <w:r w:rsidR="00737EE2">
        <w:t>Ces</w:t>
      </w:r>
      <w:r w:rsidR="00861A20">
        <w:t> </w:t>
      </w:r>
      <w:r w:rsidR="00737EE2">
        <w:t xml:space="preserve">arrêts </w:t>
      </w:r>
      <w:r w:rsidR="00B444FD">
        <w:t>reconnaissent</w:t>
      </w:r>
      <w:r w:rsidR="00737EE2">
        <w:t xml:space="preserve"> en effet</w:t>
      </w:r>
      <w:r w:rsidR="00B444FD">
        <w:t xml:space="preserve"> la possibilité, </w:t>
      </w:r>
      <w:r w:rsidR="00737EE2">
        <w:t>a</w:t>
      </w:r>
      <w:r w:rsidR="00B444FD" w:rsidRPr="00840D7C">
        <w:t>u-delà des causes de non-</w:t>
      </w:r>
      <w:r w:rsidR="00B444FD">
        <w:t>exécution</w:t>
      </w:r>
      <w:r w:rsidR="00B444FD" w:rsidRPr="00840D7C">
        <w:t xml:space="preserve"> prévu</w:t>
      </w:r>
      <w:r w:rsidR="00B444FD">
        <w:t>es explicitement par le droit écrit</w:t>
      </w:r>
      <w:r w:rsidR="00B444FD" w:rsidRPr="00840D7C">
        <w:t xml:space="preserve">, </w:t>
      </w:r>
      <w:r w:rsidR="00737EE2">
        <w:t xml:space="preserve">de remettre en cause </w:t>
      </w:r>
      <w:r w:rsidR="00B444FD">
        <w:t>l</w:t>
      </w:r>
      <w:r w:rsidR="005775D7">
        <w:t>’</w:t>
      </w:r>
      <w:r w:rsidR="00B444FD">
        <w:t xml:space="preserve">automaticité </w:t>
      </w:r>
      <w:r w:rsidR="00737EE2">
        <w:t>qui entoure</w:t>
      </w:r>
      <w:r w:rsidR="00B444FD">
        <w:t xml:space="preserve"> </w:t>
      </w:r>
      <w:r w:rsidR="00737EE2">
        <w:t>les situations de circulation transnationales</w:t>
      </w:r>
      <w:r w:rsidR="00B444FD">
        <w:t xml:space="preserve"> en cas</w:t>
      </w:r>
      <w:r w:rsidR="00B444FD" w:rsidRPr="00840D7C">
        <w:t xml:space="preserve"> </w:t>
      </w:r>
      <w:r w:rsidR="00B444FD">
        <w:t xml:space="preserve">de </w:t>
      </w:r>
      <w:r w:rsidR="00B444FD" w:rsidRPr="00840D7C">
        <w:t>« circonstances exceptionnelles »</w:t>
      </w:r>
      <w:r w:rsidR="00952E41">
        <w:rPr>
          <w:rStyle w:val="Appelnotedebasdep"/>
        </w:rPr>
        <w:footnoteReference w:id="99"/>
      </w:r>
      <w:r w:rsidR="00B444FD" w:rsidRPr="00840D7C">
        <w:t>.</w:t>
      </w:r>
      <w:r w:rsidR="00B444FD">
        <w:t xml:space="preserve"> </w:t>
      </w:r>
    </w:p>
    <w:p w14:paraId="6593C40B" w14:textId="77B342A7" w:rsidR="005E12F5" w:rsidRPr="00A83695" w:rsidRDefault="005E12F5" w:rsidP="00A83695">
      <w:r>
        <w:lastRenderedPageBreak/>
        <w:t xml:space="preserve">Il est possible de penser </w:t>
      </w:r>
      <w:r w:rsidR="00A83695">
        <w:t>au regard de ces évolution</w:t>
      </w:r>
      <w:r w:rsidR="004F217D">
        <w:t>s</w:t>
      </w:r>
      <w:r w:rsidR="00A83695">
        <w:t xml:space="preserve">, </w:t>
      </w:r>
      <w:r>
        <w:t>qu</w:t>
      </w:r>
      <w:r w:rsidR="005775D7">
        <w:t>’</w:t>
      </w:r>
      <w:r>
        <w:t xml:space="preserve">à </w:t>
      </w:r>
      <w:r w:rsidR="00397647">
        <w:t>l</w:t>
      </w:r>
      <w:r w:rsidR="005775D7">
        <w:t>’</w:t>
      </w:r>
      <w:r w:rsidR="00397647">
        <w:t>instar</w:t>
      </w:r>
      <w:r w:rsidR="00A83695">
        <w:t xml:space="preserve"> de ce qu</w:t>
      </w:r>
      <w:r w:rsidR="005775D7">
        <w:t>’</w:t>
      </w:r>
      <w:r w:rsidR="00A83695">
        <w:t xml:space="preserve">il permet </w:t>
      </w:r>
      <w:r>
        <w:t xml:space="preserve">dans le </w:t>
      </w:r>
      <w:r w:rsidR="00A83695">
        <w:t xml:space="preserve">droit du </w:t>
      </w:r>
      <w:r>
        <w:t>marché intérieur, le principe de reconnaissance mutuelle est en voie de passer dans l</w:t>
      </w:r>
      <w:r w:rsidR="005775D7">
        <w:t>’</w:t>
      </w:r>
      <w:r>
        <w:t>ELSJ d</w:t>
      </w:r>
      <w:r w:rsidR="005775D7">
        <w:t>’</w:t>
      </w:r>
      <w:r>
        <w:t>un fonctionnement basé sur l</w:t>
      </w:r>
      <w:r w:rsidR="005775D7">
        <w:t>’</w:t>
      </w:r>
      <w:r>
        <w:t>intérêt des Etats « régulateurs » et sur une confiance mutuelle aveugle, à un mécanisme fondé sur un « </w:t>
      </w:r>
      <w:r w:rsidRPr="004D76D9">
        <w:t xml:space="preserve">examen </w:t>
      </w:r>
      <w:r>
        <w:t xml:space="preserve">[concret] </w:t>
      </w:r>
      <w:r w:rsidRPr="004D76D9">
        <w:t>de l</w:t>
      </w:r>
      <w:r w:rsidR="005775D7">
        <w:t>’</w:t>
      </w:r>
      <w:r w:rsidRPr="004D76D9">
        <w:t>impact des systèmes de coopérations sur les droits fondamentaux et la situation spécifique des individus concernés »</w:t>
      </w:r>
      <w:r>
        <w:rPr>
          <w:rStyle w:val="Appelnotedebasdep"/>
        </w:rPr>
        <w:footnoteReference w:id="100"/>
      </w:r>
      <w:r>
        <w:t>. Il prendrait ainsi place dans le cadre d</w:t>
      </w:r>
      <w:r w:rsidR="005775D7">
        <w:t>’</w:t>
      </w:r>
      <w:r>
        <w:t>une intégration européenne</w:t>
      </w:r>
      <w:r w:rsidR="00A83695">
        <w:t xml:space="preserve"> véritablement</w:t>
      </w:r>
      <w:r>
        <w:t xml:space="preserve"> pluraliste, </w:t>
      </w:r>
      <w:r w:rsidR="00A83695">
        <w:t xml:space="preserve">en </w:t>
      </w:r>
      <w:r>
        <w:t>permettant au juge n</w:t>
      </w:r>
      <w:r w:rsidR="00A83695">
        <w:t>ational, conformément à la proclamation de l</w:t>
      </w:r>
      <w:r w:rsidR="005775D7">
        <w:t>’</w:t>
      </w:r>
      <w:r w:rsidR="00A83695">
        <w:t xml:space="preserve">article 2 TUE, </w:t>
      </w:r>
      <w:r>
        <w:t>d</w:t>
      </w:r>
      <w:r w:rsidR="005775D7">
        <w:t>’</w:t>
      </w:r>
      <w:r>
        <w:t>éviter que la reconnaissance mutuelle conduise à une violation des p</w:t>
      </w:r>
      <w:r w:rsidR="008E60FA">
        <w:t>rincipes et valeurs fondamentaux</w:t>
      </w:r>
      <w:r>
        <w:t xml:space="preserve"> de son ordre juridique et </w:t>
      </w:r>
      <w:r w:rsidRPr="00A83695">
        <w:rPr>
          <w:i/>
        </w:rPr>
        <w:t>in fine</w:t>
      </w:r>
      <w:r>
        <w:t xml:space="preserve"> à miner la confiance mutuelle</w:t>
      </w:r>
      <w:r w:rsidR="0069548C">
        <w:rPr>
          <w:rStyle w:val="Appelnotedebasdep"/>
          <w:rFonts w:eastAsia="MinionPro-Regular"/>
        </w:rPr>
        <w:footnoteReference w:id="101"/>
      </w:r>
      <w:r w:rsidR="0069548C">
        <w:t>.</w:t>
      </w:r>
    </w:p>
    <w:p w14:paraId="66A5F810" w14:textId="7B94CCAC" w:rsidR="00DF5A16" w:rsidRPr="00DF5A16" w:rsidRDefault="00F53C19" w:rsidP="00DF5A16">
      <w:pPr>
        <w:pStyle w:val="Titre3"/>
      </w:pPr>
      <w:r>
        <w:t>L</w:t>
      </w:r>
      <w:r w:rsidR="005775D7">
        <w:t>’</w:t>
      </w:r>
      <w:r>
        <w:t xml:space="preserve">effet médiat : un mécanisme </w:t>
      </w:r>
      <w:r w:rsidR="00EF62D9">
        <w:t>favorisant</w:t>
      </w:r>
      <w:r w:rsidR="007654B1">
        <w:t xml:space="preserve"> l</w:t>
      </w:r>
      <w:r w:rsidR="005775D7">
        <w:t>’</w:t>
      </w:r>
      <w:r w:rsidR="007654B1">
        <w:t>harmonie</w:t>
      </w:r>
      <w:r w:rsidR="00CE53EC">
        <w:t xml:space="preserve"> </w:t>
      </w:r>
      <w:r w:rsidR="007654B1">
        <w:t xml:space="preserve">juridique </w:t>
      </w:r>
      <w:r w:rsidR="0047646C">
        <w:t>au sein de l</w:t>
      </w:r>
      <w:r w:rsidR="005775D7">
        <w:t>’</w:t>
      </w:r>
      <w:r w:rsidR="0047646C">
        <w:t>Union</w:t>
      </w:r>
    </w:p>
    <w:p w14:paraId="3D713EA9" w14:textId="1712D8A7" w:rsidR="00DD5EB9" w:rsidRDefault="002B552F" w:rsidP="00DD5EB9">
      <w:r>
        <w:t>Au-delà de l</w:t>
      </w:r>
      <w:r w:rsidR="005775D7">
        <w:t>’</w:t>
      </w:r>
      <w:r>
        <w:t>automaticité qu</w:t>
      </w:r>
      <w:r w:rsidR="005775D7">
        <w:t>’</w:t>
      </w:r>
      <w:r>
        <w:t>elle emporte en principe, l</w:t>
      </w:r>
      <w:r w:rsidR="0078116C">
        <w:t xml:space="preserve">a </w:t>
      </w:r>
      <w:r>
        <w:t>reconnaissance mutuelle</w:t>
      </w:r>
      <w:r w:rsidR="0078116C">
        <w:t xml:space="preserve"> entretient avec l</w:t>
      </w:r>
      <w:r w:rsidR="005775D7">
        <w:t>’</w:t>
      </w:r>
      <w:r w:rsidR="0078116C">
        <w:t>intégration un deuxième type de rapport</w:t>
      </w:r>
      <w:r>
        <w:t>.</w:t>
      </w:r>
      <w:r w:rsidR="00092984">
        <w:t xml:space="preserve"> Là </w:t>
      </w:r>
      <w:r w:rsidR="00092984" w:rsidRPr="00ED293C">
        <w:t>où l</w:t>
      </w:r>
      <w:r w:rsidR="005775D7">
        <w:t>’</w:t>
      </w:r>
      <w:r w:rsidR="00092984" w:rsidRPr="00ED293C">
        <w:t xml:space="preserve">intégration normative paraît </w:t>
      </w:r>
      <w:r w:rsidR="00092984">
        <w:t xml:space="preserve">dans un premier temps </w:t>
      </w:r>
      <w:r w:rsidR="00092984" w:rsidRPr="00ED293C">
        <w:t>irréa</w:t>
      </w:r>
      <w:r w:rsidR="00092984">
        <w:t xml:space="preserve">lisable ou inopportune, </w:t>
      </w:r>
      <w:r w:rsidR="00092984" w:rsidRPr="00ED293C">
        <w:t xml:space="preserve">la reconnaissance mutuelle </w:t>
      </w:r>
      <w:r w:rsidR="008E60FA">
        <w:t>permet</w:t>
      </w:r>
      <w:r w:rsidR="006F55F1">
        <w:t xml:space="preserve"> de </w:t>
      </w:r>
      <w:r w:rsidR="00092984" w:rsidRPr="00ED293C">
        <w:t>poursuivre l</w:t>
      </w:r>
      <w:r w:rsidR="005775D7">
        <w:t>’</w:t>
      </w:r>
      <w:r w:rsidR="00092984" w:rsidRPr="00ED293C">
        <w:t xml:space="preserve">objectif </w:t>
      </w:r>
      <w:r w:rsidR="00092984">
        <w:t>de construction</w:t>
      </w:r>
      <w:r w:rsidR="00092984" w:rsidRPr="00ED293C">
        <w:t xml:space="preserve"> d</w:t>
      </w:r>
      <w:r w:rsidR="005775D7">
        <w:t>’</w:t>
      </w:r>
      <w:r w:rsidR="00092984" w:rsidRPr="00ED293C">
        <w:t>un espace ouvert.</w:t>
      </w:r>
      <w:r w:rsidR="00092984">
        <w:t xml:space="preserve"> Mais, ce faisant, la reconnaissance mutuelle met</w:t>
      </w:r>
      <w:r w:rsidR="004938EE">
        <w:t>tra</w:t>
      </w:r>
      <w:r w:rsidR="008E60FA">
        <w:t xml:space="preserve"> aussi</w:t>
      </w:r>
      <w:r w:rsidR="00092984">
        <w:t xml:space="preserve"> en exergue les difficultés que rencontrent les Etats membre dans l</w:t>
      </w:r>
      <w:r w:rsidR="005775D7">
        <w:t>’</w:t>
      </w:r>
      <w:r w:rsidR="00092984">
        <w:t>expression d</w:t>
      </w:r>
      <w:r w:rsidR="005775D7">
        <w:t>’</w:t>
      </w:r>
      <w:r w:rsidR="00092984">
        <w:t>une confiance mutuelle susceptible d</w:t>
      </w:r>
      <w:r w:rsidR="005775D7">
        <w:t>’</w:t>
      </w:r>
      <w:r w:rsidR="00092984">
        <w:t xml:space="preserve">être mise à mal par leurs disparités. </w:t>
      </w:r>
      <w:r w:rsidR="0069548C">
        <w:t xml:space="preserve">Dans </w:t>
      </w:r>
      <w:r w:rsidR="00AD24A2">
        <w:t>une logique de</w:t>
      </w:r>
      <w:r w:rsidR="0069548C">
        <w:t xml:space="preserve"> </w:t>
      </w:r>
      <w:proofErr w:type="spellStart"/>
      <w:r w:rsidR="0069548C">
        <w:rPr>
          <w:i/>
        </w:rPr>
        <w:t>spill</w:t>
      </w:r>
      <w:proofErr w:type="spellEnd"/>
      <w:r w:rsidR="0069548C">
        <w:rPr>
          <w:i/>
        </w:rPr>
        <w:t xml:space="preserve"> </w:t>
      </w:r>
      <w:r w:rsidR="0069548C" w:rsidRPr="0069548C">
        <w:rPr>
          <w:i/>
        </w:rPr>
        <w:t>over</w:t>
      </w:r>
      <w:r w:rsidR="0069548C">
        <w:rPr>
          <w:i/>
        </w:rPr>
        <w:t xml:space="preserve"> </w:t>
      </w:r>
      <w:r w:rsidR="00AD24A2">
        <w:t xml:space="preserve">caractéristique de </w:t>
      </w:r>
      <w:r w:rsidR="0069548C">
        <w:t xml:space="preserve">la méthode </w:t>
      </w:r>
      <w:proofErr w:type="spellStart"/>
      <w:r w:rsidR="0069548C">
        <w:t>fonctionnalitste</w:t>
      </w:r>
      <w:proofErr w:type="spellEnd"/>
      <w:r w:rsidR="0069548C">
        <w:t>, l</w:t>
      </w:r>
      <w:r w:rsidR="00092984" w:rsidRPr="0069548C">
        <w:t>a</w:t>
      </w:r>
      <w:r w:rsidR="00092984">
        <w:t xml:space="preserve"> résolution de ces difficultés </w:t>
      </w:r>
      <w:r w:rsidR="006F55F1">
        <w:t>peut</w:t>
      </w:r>
      <w:r w:rsidR="00092984">
        <w:t xml:space="preserve"> alors</w:t>
      </w:r>
      <w:r w:rsidR="006F55F1">
        <w:t xml:space="preserve"> passer</w:t>
      </w:r>
      <w:r w:rsidR="00092984">
        <w:t xml:space="preserve"> </w:t>
      </w:r>
      <w:r w:rsidR="0078116C">
        <w:t xml:space="preserve">par </w:t>
      </w:r>
      <w:r w:rsidR="00092984">
        <w:t>l</w:t>
      </w:r>
      <w:r w:rsidR="005775D7">
        <w:t>’</w:t>
      </w:r>
      <w:r w:rsidR="00092984">
        <w:t>adoption de</w:t>
      </w:r>
      <w:r w:rsidR="0078116C">
        <w:t xml:space="preserve"> </w:t>
      </w:r>
      <w:r w:rsidR="00AD24A2">
        <w:t>règles</w:t>
      </w:r>
      <w:r w:rsidR="0078116C">
        <w:t xml:space="preserve"> </w:t>
      </w:r>
      <w:r w:rsidR="00092984">
        <w:t xml:space="preserve">de droit dérivé </w:t>
      </w:r>
      <w:r w:rsidR="0078116C">
        <w:t xml:space="preserve">relatives aux standards minimaux </w:t>
      </w:r>
      <w:r w:rsidR="0078116C">
        <w:lastRenderedPageBreak/>
        <w:t>devant être gar</w:t>
      </w:r>
      <w:r>
        <w:t>antis par tous les Etats membre</w:t>
      </w:r>
      <w:r w:rsidR="000153C5">
        <w:rPr>
          <w:rStyle w:val="Appelnotedebasdep"/>
        </w:rPr>
        <w:footnoteReference w:id="102"/>
      </w:r>
      <w:r w:rsidR="00AD24A2">
        <w:t>. Standards</w:t>
      </w:r>
      <w:r>
        <w:t xml:space="preserve"> qui </w:t>
      </w:r>
      <w:r w:rsidR="00092984">
        <w:t>seront</w:t>
      </w:r>
      <w:r>
        <w:t xml:space="preserve"> l</w:t>
      </w:r>
      <w:r w:rsidR="006F55F1">
        <w:t>e ferment d</w:t>
      </w:r>
      <w:r w:rsidR="005775D7">
        <w:t>’</w:t>
      </w:r>
      <w:r w:rsidR="006F55F1">
        <w:t>u</w:t>
      </w:r>
      <w:r>
        <w:t xml:space="preserve">ne confiance mutuelle </w:t>
      </w:r>
      <w:r w:rsidR="006F55F1">
        <w:t>restaurée</w:t>
      </w:r>
      <w:r w:rsidR="009721A7">
        <w:t xml:space="preserve"> et réaliste</w:t>
      </w:r>
      <w:r w:rsidR="000153C5">
        <w:rPr>
          <w:rStyle w:val="Appelnotedebasdep"/>
        </w:rPr>
        <w:footnoteReference w:id="103"/>
      </w:r>
      <w:r w:rsidR="00DD5EB9" w:rsidRPr="00894581">
        <w:t>.</w:t>
      </w:r>
      <w:r w:rsidR="0069548C">
        <w:t xml:space="preserve"> </w:t>
      </w:r>
    </w:p>
    <w:p w14:paraId="5FECA200" w14:textId="72CB82D1" w:rsidR="004938EE" w:rsidRPr="00D50B9B" w:rsidRDefault="00706C42" w:rsidP="004938EE">
      <w:r>
        <w:t>En ce sens, tous</w:t>
      </w:r>
      <w:r w:rsidR="00092984">
        <w:t xml:space="preserve"> les acteurs </w:t>
      </w:r>
      <w:r>
        <w:t xml:space="preserve">de la coopération </w:t>
      </w:r>
      <w:r w:rsidR="00092984" w:rsidRPr="008E60FA">
        <w:t>« s</w:t>
      </w:r>
      <w:r w:rsidR="008E60FA" w:rsidRPr="008E60FA">
        <w:t>’</w:t>
      </w:r>
      <w:r w:rsidR="00092984" w:rsidRPr="008E60FA">
        <w:t>accordent à reconnaître que la confiance mutuelle est un apprentissage, un processus dynamique et réciproque »</w:t>
      </w:r>
      <w:r w:rsidR="00092984" w:rsidRPr="008E60FA">
        <w:rPr>
          <w:rStyle w:val="Appelnotedebasdep"/>
        </w:rPr>
        <w:footnoteReference w:id="104"/>
      </w:r>
      <w:r w:rsidRPr="008E60FA">
        <w:t>.</w:t>
      </w:r>
      <w:r w:rsidR="00D50B9B">
        <w:t xml:space="preserve"> En clair, il faut construire les conditions de cette confiance </w:t>
      </w:r>
      <w:r w:rsidR="006F55F1">
        <w:t>réciproque</w:t>
      </w:r>
      <w:r w:rsidR="00D50B9B">
        <w:t xml:space="preserve"> qui permettra </w:t>
      </w:r>
      <w:r w:rsidR="006F55F1">
        <w:t>au principe de</w:t>
      </w:r>
      <w:r w:rsidR="00D50B9B">
        <w:t xml:space="preserve"> reconnaissance </w:t>
      </w:r>
      <w:r w:rsidR="006F55F1">
        <w:t xml:space="preserve">mutuelle </w:t>
      </w:r>
      <w:r w:rsidR="00D50B9B">
        <w:t>d</w:t>
      </w:r>
      <w:r w:rsidR="005775D7">
        <w:t>’</w:t>
      </w:r>
      <w:r w:rsidR="00D50B9B">
        <w:t xml:space="preserve">exercer son plein effet – </w:t>
      </w:r>
      <w:r w:rsidR="00CE53EC">
        <w:t xml:space="preserve">ce qui </w:t>
      </w:r>
      <w:r w:rsidR="00D50B9B">
        <w:t>apparaît, eu égard à la place occupé par cette valeur fondamentale, comme une exigence existentiel</w:t>
      </w:r>
      <w:r w:rsidR="00CE53EC">
        <w:t>le pour l</w:t>
      </w:r>
      <w:r w:rsidR="005775D7">
        <w:t>’</w:t>
      </w:r>
      <w:r w:rsidR="00CE53EC">
        <w:t>intégration européenne</w:t>
      </w:r>
      <w:r w:rsidR="00807F9A" w:rsidRPr="00D50B9B">
        <w:rPr>
          <w:vertAlign w:val="superscript"/>
        </w:rPr>
        <w:footnoteReference w:id="105"/>
      </w:r>
      <w:r w:rsidR="004938EE">
        <w:t>.</w:t>
      </w:r>
      <w:r w:rsidR="00CE53EC">
        <w:t xml:space="preserve"> </w:t>
      </w:r>
    </w:p>
    <w:p w14:paraId="63659988" w14:textId="1F75787A" w:rsidR="00D41781" w:rsidRPr="006874C0" w:rsidRDefault="00D41781" w:rsidP="00D41781">
      <w:r>
        <w:t xml:space="preserve">Le constituant </w:t>
      </w:r>
      <w:r w:rsidR="00357419">
        <w:t xml:space="preserve">a </w:t>
      </w:r>
      <w:r>
        <w:t xml:space="preserve">tiré les conséquences de cet </w:t>
      </w:r>
      <w:r w:rsidR="00FE2CF1">
        <w:t>effet d</w:t>
      </w:r>
      <w:r w:rsidR="005775D7">
        <w:t>’</w:t>
      </w:r>
      <w:r>
        <w:t>entraînemen</w:t>
      </w:r>
      <w:r w:rsidR="005F2C7D">
        <w:t>t</w:t>
      </w:r>
      <w:r w:rsidR="00664F0E">
        <w:rPr>
          <w:rStyle w:val="Appelnotedebasdep"/>
        </w:rPr>
        <w:footnoteReference w:id="106"/>
      </w:r>
      <w:r w:rsidR="00357419">
        <w:t xml:space="preserve"> en </w:t>
      </w:r>
      <w:r>
        <w:t>reconnaissant</w:t>
      </w:r>
      <w:r w:rsidR="00AD24A2">
        <w:t>,</w:t>
      </w:r>
      <w:r w:rsidR="00357419">
        <w:t xml:space="preserve"> par exemple</w:t>
      </w:r>
      <w:r>
        <w:t xml:space="preserve"> à l</w:t>
      </w:r>
      <w:r w:rsidR="005775D7">
        <w:t>’</w:t>
      </w:r>
      <w:r>
        <w:t>article 82 TFUE</w:t>
      </w:r>
      <w:r w:rsidR="00357419">
        <w:rPr>
          <w:rStyle w:val="Appelnotedebasdep"/>
        </w:rPr>
        <w:footnoteReference w:id="107"/>
      </w:r>
      <w:r w:rsidR="00AD24A2">
        <w:t>,</w:t>
      </w:r>
      <w:r>
        <w:t xml:space="preserve"> que la coopération judiciaire en matière pénale « </w:t>
      </w:r>
      <w:r w:rsidRPr="005733C9">
        <w:rPr>
          <w:i/>
        </w:rPr>
        <w:t>inclut</w:t>
      </w:r>
      <w:r>
        <w:t> » le rapprochement des dispositions nationales dans les domaines énumérés par le traité</w:t>
      </w:r>
      <w:r w:rsidR="00357419">
        <w:t xml:space="preserve"> aux a</w:t>
      </w:r>
      <w:r w:rsidR="00357419" w:rsidRPr="00357419">
        <w:t>rticles 82, §2 et 83 TFUE</w:t>
      </w:r>
      <w:r>
        <w:t>.</w:t>
      </w:r>
      <w:r w:rsidR="00FE2CF1">
        <w:t xml:space="preserve"> Cet article a été introduit par le Traité de Lisbonne en réponse </w:t>
      </w:r>
      <w:r w:rsidR="005F2C7D">
        <w:t>aux difficultés rencontrées</w:t>
      </w:r>
      <w:r w:rsidR="00FE2CF1">
        <w:t>, sous le régime de l</w:t>
      </w:r>
      <w:r w:rsidR="005775D7">
        <w:t>’</w:t>
      </w:r>
      <w:r w:rsidR="00FE2CF1">
        <w:t xml:space="preserve">ex-troisième pilier, </w:t>
      </w:r>
      <w:r w:rsidR="005F2C7D">
        <w:t>pour</w:t>
      </w:r>
      <w:r w:rsidR="00FE2CF1">
        <w:t xml:space="preserve"> réunir sur la question des droits procéduraux l</w:t>
      </w:r>
      <w:r w:rsidR="005775D7">
        <w:t>’</w:t>
      </w:r>
      <w:r w:rsidR="00FE2CF1">
        <w:t>unanimité des membres du Conseil</w:t>
      </w:r>
      <w:r w:rsidR="00E40243">
        <w:rPr>
          <w:rStyle w:val="Appelnotedebasdep"/>
        </w:rPr>
        <w:footnoteReference w:id="108"/>
      </w:r>
      <w:r w:rsidR="00FE2CF1">
        <w:t>. Dans la continuité de la réforme</w:t>
      </w:r>
      <w:r w:rsidR="005F2C7D">
        <w:t xml:space="preserve"> du droit primaire</w:t>
      </w:r>
      <w:r w:rsidR="00FE2CF1">
        <w:t>, le Conseil a</w:t>
      </w:r>
      <w:r w:rsidR="00357419">
        <w:t xml:space="preserve"> également établi</w:t>
      </w:r>
      <w:r w:rsidR="00FE2CF1">
        <w:t xml:space="preserve"> dès 2009 une « </w:t>
      </w:r>
      <w:r w:rsidR="00FE2CF1" w:rsidRPr="008E60FA">
        <w:t>feuille de route visant à renforcer les droits procéduraux des suspects ou des personnes poursuivies dans le cadre des procédures pénales »</w:t>
      </w:r>
      <w:r w:rsidR="00FE2CF1">
        <w:rPr>
          <w:rStyle w:val="Appelnotedebasdep"/>
        </w:rPr>
        <w:footnoteReference w:id="109"/>
      </w:r>
      <w:r w:rsidR="00FE2CF1">
        <w:t xml:space="preserve">, </w:t>
      </w:r>
      <w:r w:rsidR="000B614E">
        <w:t>laquelle</w:t>
      </w:r>
      <w:r w:rsidR="00FE2CF1">
        <w:t xml:space="preserve"> a conduit à l</w:t>
      </w:r>
      <w:r w:rsidR="005775D7">
        <w:t>’</w:t>
      </w:r>
      <w:r w:rsidR="00FE2CF1">
        <w:t>adoption d</w:t>
      </w:r>
      <w:r w:rsidR="005775D7">
        <w:t>’</w:t>
      </w:r>
      <w:r w:rsidR="00FE2CF1">
        <w:t>une série de directives importantes en la matièr</w:t>
      </w:r>
      <w:r w:rsidR="008E60FA">
        <w:t>e</w:t>
      </w:r>
      <w:r w:rsidR="000B614E" w:rsidRPr="006874C0">
        <w:rPr>
          <w:rStyle w:val="Appelnotedebasdep"/>
        </w:rPr>
        <w:footnoteReference w:id="110"/>
      </w:r>
      <w:r w:rsidR="000B614E" w:rsidRPr="006874C0">
        <w:t>.</w:t>
      </w:r>
      <w:r w:rsidR="00357419">
        <w:t xml:space="preserve"> </w:t>
      </w:r>
    </w:p>
    <w:p w14:paraId="16A54330" w14:textId="08EEF09E" w:rsidR="00832983" w:rsidRDefault="000B614E" w:rsidP="00D41781">
      <w:r>
        <w:lastRenderedPageBreak/>
        <w:t>La situation des droits dans la procédure pénale</w:t>
      </w:r>
      <w:r w:rsidR="00B31CC8">
        <w:t xml:space="preserve"> donne raison à</w:t>
      </w:r>
      <w:r w:rsidR="00363D19">
        <w:t xml:space="preserve"> </w:t>
      </w:r>
      <w:r w:rsidR="00D41781">
        <w:t xml:space="preserve">Henri </w:t>
      </w:r>
      <w:proofErr w:type="spellStart"/>
      <w:r w:rsidR="00D41781">
        <w:t>Labayle</w:t>
      </w:r>
      <w:proofErr w:type="spellEnd"/>
      <w:r w:rsidR="00B31CC8">
        <w:t>, qui</w:t>
      </w:r>
      <w:r w:rsidR="00D41781">
        <w:t xml:space="preserve"> soulign</w:t>
      </w:r>
      <w:r w:rsidR="00B31CC8">
        <w:t>ait</w:t>
      </w:r>
      <w:r w:rsidR="00D41781">
        <w:t xml:space="preserve"> l</w:t>
      </w:r>
      <w:r w:rsidR="005775D7">
        <w:t>’</w:t>
      </w:r>
      <w:r w:rsidR="00D41781">
        <w:t xml:space="preserve">ambiguïté de la constitutionnalisation </w:t>
      </w:r>
      <w:r w:rsidR="00357419">
        <w:t xml:space="preserve">par le TECE </w:t>
      </w:r>
      <w:r w:rsidR="00D41781">
        <w:t xml:space="preserve">du </w:t>
      </w:r>
      <w:r w:rsidR="00D41781" w:rsidRPr="006874C0">
        <w:t>« principe de confiance mutuelle et de reconnaissance mutuelle »</w:t>
      </w:r>
      <w:r w:rsidR="00D41781">
        <w:t xml:space="preserve">, comprise à tort par certains </w:t>
      </w:r>
      <w:r w:rsidR="0009745C">
        <w:t>Etats membre</w:t>
      </w:r>
      <w:r w:rsidR="00D41781">
        <w:t xml:space="preserve"> comme la reconnaissance de ce qu</w:t>
      </w:r>
      <w:r w:rsidR="005775D7">
        <w:t>’</w:t>
      </w:r>
      <w:r w:rsidR="00D41781">
        <w:t xml:space="preserve">en matière répressive </w:t>
      </w:r>
      <w:r w:rsidR="00D41781" w:rsidRPr="006874C0">
        <w:t>« l</w:t>
      </w:r>
      <w:r w:rsidR="005775D7">
        <w:t>’</w:t>
      </w:r>
      <w:r w:rsidR="00D41781" w:rsidRPr="006874C0">
        <w:t>essentiel [serait] dit par le droit national</w:t>
      </w:r>
      <w:r w:rsidRPr="006874C0">
        <w:t xml:space="preserve"> ». Tout au contraire, </w:t>
      </w:r>
      <w:r w:rsidR="00D41781" w:rsidRPr="006874C0">
        <w:t>« reconnaissance mutuelle et harmonisation du droit sont des phases complémentaires et non pas alternatives »</w:t>
      </w:r>
      <w:r w:rsidR="00D41781" w:rsidRPr="006874C0">
        <w:rPr>
          <w:rStyle w:val="Appelnotedebasdep"/>
        </w:rPr>
        <w:footnoteReference w:id="111"/>
      </w:r>
      <w:r w:rsidR="00D41781" w:rsidRPr="006874C0">
        <w:t>.</w:t>
      </w:r>
      <w:r w:rsidR="004938EE">
        <w:t xml:space="preserve"> </w:t>
      </w:r>
    </w:p>
    <w:p w14:paraId="3B15C35F" w14:textId="4329F9C1" w:rsidR="0062263C" w:rsidRDefault="00664F0E" w:rsidP="00662ABE">
      <w:r>
        <w:t>Par ailleurs, s</w:t>
      </w:r>
      <w:r w:rsidR="00994D03">
        <w:t>i l</w:t>
      </w:r>
      <w:r w:rsidR="005775D7">
        <w:t>’</w:t>
      </w:r>
      <w:r w:rsidR="00994D03">
        <w:t>adoption de règles de droit dérivé traduit l</w:t>
      </w:r>
      <w:r w:rsidR="005775D7">
        <w:t>’</w:t>
      </w:r>
      <w:r w:rsidR="00994D03">
        <w:t>attention portée par l</w:t>
      </w:r>
      <w:r w:rsidR="005775D7">
        <w:t>’</w:t>
      </w:r>
      <w:r w:rsidR="00994D03">
        <w:t>Union à la nécessité d</w:t>
      </w:r>
      <w:r w:rsidR="005775D7">
        <w:t>’</w:t>
      </w:r>
      <w:r w:rsidR="00994D03">
        <w:t>assurer l</w:t>
      </w:r>
      <w:r w:rsidR="005775D7">
        <w:t>’</w:t>
      </w:r>
      <w:r w:rsidR="00994D03">
        <w:t>automaticité poursuivi</w:t>
      </w:r>
      <w:r w:rsidR="002A757C">
        <w:t xml:space="preserve">e par la </w:t>
      </w:r>
      <w:r w:rsidR="004F41D8">
        <w:t>reconnaissance mutuelle</w:t>
      </w:r>
      <w:r w:rsidR="002A757C">
        <w:t>, il faut cependant s</w:t>
      </w:r>
      <w:r w:rsidR="008A0FE6">
        <w:t>e garder de voir dans l</w:t>
      </w:r>
      <w:r w:rsidR="00994D03">
        <w:t xml:space="preserve">e développement </w:t>
      </w:r>
      <w:r w:rsidR="002A757C">
        <w:t>du corpus juridique</w:t>
      </w:r>
      <w:r w:rsidR="008A0FE6">
        <w:t xml:space="preserve"> européen</w:t>
      </w:r>
      <w:r w:rsidR="002A757C">
        <w:t xml:space="preserve"> la seule forme d</w:t>
      </w:r>
      <w:r w:rsidR="005775D7">
        <w:t>’</w:t>
      </w:r>
      <w:r w:rsidR="002A757C">
        <w:t>intégration induite par ce mécanisme.</w:t>
      </w:r>
      <w:r w:rsidR="008A0FE6">
        <w:t xml:space="preserve"> A</w:t>
      </w:r>
      <w:r w:rsidR="005C3048">
        <w:t>u-delà de</w:t>
      </w:r>
      <w:r w:rsidR="002A757C">
        <w:t xml:space="preserve"> </w:t>
      </w:r>
      <w:r w:rsidR="005733C9">
        <w:t>l</w:t>
      </w:r>
      <w:r w:rsidR="005775D7">
        <w:t>’</w:t>
      </w:r>
      <w:r w:rsidR="005733C9">
        <w:t>harmonisation</w:t>
      </w:r>
      <w:r w:rsidR="002A757C">
        <w:t xml:space="preserve"> </w:t>
      </w:r>
      <w:r w:rsidR="005C3048">
        <w:t>de</w:t>
      </w:r>
      <w:r w:rsidR="008A0FE6">
        <w:t>s</w:t>
      </w:r>
      <w:r w:rsidR="005C3048">
        <w:t xml:space="preserve"> standards </w:t>
      </w:r>
      <w:r w:rsidR="005C3048" w:rsidRPr="005C3048">
        <w:rPr>
          <w:i/>
        </w:rPr>
        <w:t>minimum</w:t>
      </w:r>
      <w:r w:rsidR="005C3048">
        <w:t xml:space="preserve">, </w:t>
      </w:r>
      <w:r w:rsidR="008A0FE6">
        <w:t>c</w:t>
      </w:r>
      <w:r w:rsidR="005775D7">
        <w:t>’</w:t>
      </w:r>
      <w:r w:rsidR="008A0FE6">
        <w:t>est plus souvent</w:t>
      </w:r>
      <w:r w:rsidR="005733C9">
        <w:t xml:space="preserve"> par la voie de l</w:t>
      </w:r>
      <w:r w:rsidR="005775D7">
        <w:t>’</w:t>
      </w:r>
      <w:r w:rsidR="005733C9">
        <w:t>interprétation juridictionnelle des dispositions</w:t>
      </w:r>
      <w:r w:rsidR="00662ABE">
        <w:t xml:space="preserve"> </w:t>
      </w:r>
      <w:r w:rsidR="005733C9">
        <w:t>existantes</w:t>
      </w:r>
      <w:r w:rsidR="00F91BB5">
        <w:t>,</w:t>
      </w:r>
      <w:r w:rsidR="002A757C">
        <w:t xml:space="preserve"> aiguillonnée par le dialogue des juges,</w:t>
      </w:r>
      <w:r w:rsidR="005733C9">
        <w:t xml:space="preserve"> que </w:t>
      </w:r>
      <w:r w:rsidR="002A757C">
        <w:t xml:space="preserve">face </w:t>
      </w:r>
      <w:r w:rsidR="005C3048">
        <w:t xml:space="preserve">se réalise </w:t>
      </w:r>
      <w:r w:rsidR="005733C9">
        <w:t>l</w:t>
      </w:r>
      <w:r w:rsidR="005775D7">
        <w:t>’</w:t>
      </w:r>
      <w:r w:rsidR="005733C9">
        <w:t xml:space="preserve">harmonie entre les systèmes juridiques. </w:t>
      </w:r>
    </w:p>
    <w:p w14:paraId="022E1D89" w14:textId="18492F96" w:rsidR="0062263C" w:rsidRPr="0062263C" w:rsidRDefault="00AD24A2" w:rsidP="00662ABE">
      <w:r>
        <w:t>On soulignera à ce sujet l</w:t>
      </w:r>
      <w:r w:rsidR="005775D7">
        <w:t>’</w:t>
      </w:r>
      <w:r>
        <w:t xml:space="preserve">importance du recours </w:t>
      </w:r>
      <w:r w:rsidRPr="0097120F">
        <w:t xml:space="preserve">aux </w:t>
      </w:r>
      <w:r w:rsidR="0062263C" w:rsidRPr="0097120F">
        <w:t>notions autonomes</w:t>
      </w:r>
      <w:r w:rsidR="0062263C">
        <w:t xml:space="preserve"> pour </w:t>
      </w:r>
      <w:r w:rsidR="0097120F">
        <w:t>assurer le fonctionnement de la reconnaissance mutuelle</w:t>
      </w:r>
      <w:r w:rsidR="0062263C">
        <w:t xml:space="preserve"> dans le cadre du </w:t>
      </w:r>
      <w:r w:rsidR="0097120F">
        <w:t>mandat d</w:t>
      </w:r>
      <w:r w:rsidR="005775D7">
        <w:t>’</w:t>
      </w:r>
      <w:r w:rsidR="0097120F">
        <w:t>arrêt européen </w:t>
      </w:r>
      <w:r w:rsidR="0062263C">
        <w:t xml:space="preserve">: </w:t>
      </w:r>
      <w:r w:rsidR="0097120F">
        <w:t>les </w:t>
      </w:r>
      <w:r w:rsidR="0062263C">
        <w:t>expressions « citer à personne » et « d</w:t>
      </w:r>
      <w:r w:rsidR="005775D7">
        <w:t>’</w:t>
      </w:r>
      <w:r w:rsidR="0062263C">
        <w:t>avoir eu connaissance du procès prévu », en cause dans l</w:t>
      </w:r>
      <w:r w:rsidR="005775D7">
        <w:t>’</w:t>
      </w:r>
      <w:r w:rsidR="0062263C">
        <w:t>exception facultative à l</w:t>
      </w:r>
      <w:r w:rsidR="005775D7">
        <w:t>’</w:t>
      </w:r>
      <w:r w:rsidR="0062263C">
        <w:t>exécution d</w:t>
      </w:r>
      <w:r w:rsidR="005775D7">
        <w:t>’</w:t>
      </w:r>
      <w:r w:rsidR="0062263C">
        <w:t>un mandat d</w:t>
      </w:r>
      <w:r w:rsidR="005775D7">
        <w:t>’</w:t>
      </w:r>
      <w:r w:rsidR="0062263C">
        <w:t>arrêt européen en cas de jugement</w:t>
      </w:r>
      <w:r w:rsidR="005775D7">
        <w:t xml:space="preserve"> </w:t>
      </w:r>
      <w:r w:rsidR="0097120F">
        <w:t xml:space="preserve">rendu </w:t>
      </w:r>
      <w:r w:rsidR="0062263C">
        <w:t>par dé</w:t>
      </w:r>
      <w:r w:rsidR="0097120F">
        <w:t>faut, sont interprétées par la Cour de manière uniforme</w:t>
      </w:r>
      <w:r w:rsidR="0062263C">
        <w:t xml:space="preserve"> afin d</w:t>
      </w:r>
      <w:r w:rsidR="005775D7">
        <w:t>’</w:t>
      </w:r>
      <w:r w:rsidR="0062263C">
        <w:t>harmoniser les pratiques nationales</w:t>
      </w:r>
      <w:r w:rsidR="0062263C">
        <w:rPr>
          <w:rStyle w:val="Appelnotedebasdep"/>
        </w:rPr>
        <w:footnoteReference w:id="112"/>
      </w:r>
      <w:r w:rsidR="0062263C">
        <w:t>. Adoptant pour ce faire un standard élevé de p</w:t>
      </w:r>
      <w:r w:rsidR="0097120F">
        <w:t xml:space="preserve">rotection, la juridiction coupa de ce fait </w:t>
      </w:r>
      <w:r w:rsidR="0062263C">
        <w:t>« court aux critiques émanant de plusieurs juridictions constitutionnelles qui se sont érigées en protectrices des droits fondamentaux dans l</w:t>
      </w:r>
      <w:r w:rsidR="005775D7">
        <w:t>’</w:t>
      </w:r>
      <w:r w:rsidR="0062263C">
        <w:t>exécution des mandats d</w:t>
      </w:r>
      <w:r w:rsidR="005775D7">
        <w:t>’</w:t>
      </w:r>
      <w:r w:rsidR="0062263C">
        <w:t>arrêt européen »</w:t>
      </w:r>
      <w:r w:rsidR="0062263C">
        <w:rPr>
          <w:rStyle w:val="Appelnotedebasdep"/>
        </w:rPr>
        <w:footnoteReference w:id="113"/>
      </w:r>
      <w:r w:rsidR="0062263C">
        <w:t xml:space="preserve">. </w:t>
      </w:r>
    </w:p>
    <w:p w14:paraId="2DB06F80" w14:textId="0297C74B" w:rsidR="00832983" w:rsidRDefault="0062263C" w:rsidP="00664F0E">
      <w:r>
        <w:t>De même,</w:t>
      </w:r>
      <w:r w:rsidR="005733C9">
        <w:t xml:space="preserve"> en matière d</w:t>
      </w:r>
      <w:r w:rsidR="005775D7">
        <w:t>’</w:t>
      </w:r>
      <w:r w:rsidR="005733C9">
        <w:t>enlèvement d</w:t>
      </w:r>
      <w:r w:rsidR="005775D7">
        <w:t>’</w:t>
      </w:r>
      <w:r w:rsidR="005733C9">
        <w:t>enfant, l</w:t>
      </w:r>
      <w:r w:rsidR="005775D7">
        <w:t>’</w:t>
      </w:r>
      <w:r w:rsidR="005733C9">
        <w:t>affirmation de la compétence de la juridiction de l</w:t>
      </w:r>
      <w:r w:rsidR="005775D7">
        <w:t>’</w:t>
      </w:r>
      <w:r w:rsidR="005733C9">
        <w:t>Etat d</w:t>
      </w:r>
      <w:r w:rsidR="005775D7">
        <w:t>’</w:t>
      </w:r>
      <w:r w:rsidR="005733C9">
        <w:t>orig</w:t>
      </w:r>
      <w:r w:rsidR="005C3048">
        <w:t xml:space="preserve">ine pour statuer sur le retour est </w:t>
      </w:r>
      <w:r w:rsidR="005733C9">
        <w:t>accompagn</w:t>
      </w:r>
      <w:r w:rsidR="005C3048">
        <w:t>é</w:t>
      </w:r>
      <w:r w:rsidR="005733C9">
        <w:t xml:space="preserve">e de garanties destinées à assurer la </w:t>
      </w:r>
      <w:r w:rsidR="004F41D8">
        <w:t>confiance mutuelle</w:t>
      </w:r>
      <w:r w:rsidR="005733C9">
        <w:t xml:space="preserve"> </w:t>
      </w:r>
      <w:r w:rsidR="00662ABE">
        <w:t xml:space="preserve">demandée à </w:t>
      </w:r>
      <w:r w:rsidR="005733C9">
        <w:t>l</w:t>
      </w:r>
      <w:r w:rsidR="005775D7">
        <w:t>’</w:t>
      </w:r>
      <w:r w:rsidR="005733C9">
        <w:t>Etat d</w:t>
      </w:r>
      <w:r w:rsidR="005775D7">
        <w:t>’</w:t>
      </w:r>
      <w:r w:rsidR="005733C9">
        <w:t>exécution</w:t>
      </w:r>
      <w:r w:rsidR="001A00E8">
        <w:rPr>
          <w:rStyle w:val="Appelnotedebasdep"/>
        </w:rPr>
        <w:footnoteReference w:id="114"/>
      </w:r>
      <w:r w:rsidR="005733C9">
        <w:t xml:space="preserve">. En </w:t>
      </w:r>
      <w:r w:rsidR="005C3048">
        <w:t>ce sens</w:t>
      </w:r>
      <w:r w:rsidR="005733C9">
        <w:t>, non</w:t>
      </w:r>
      <w:r w:rsidR="00662ABE">
        <w:t xml:space="preserve"> seulement</w:t>
      </w:r>
      <w:r w:rsidR="005733C9">
        <w:t xml:space="preserve"> l</w:t>
      </w:r>
      <w:r w:rsidR="005775D7">
        <w:t>’</w:t>
      </w:r>
      <w:r w:rsidR="005733C9">
        <w:t>article 42 du règlement 2201/2003 conditionne le caractère exécutoire au respect d</w:t>
      </w:r>
      <w:r w:rsidR="005775D7">
        <w:t>’</w:t>
      </w:r>
      <w:r w:rsidR="005733C9">
        <w:t>un certain nombre d</w:t>
      </w:r>
      <w:r w:rsidR="005775D7">
        <w:t>’</w:t>
      </w:r>
      <w:r w:rsidR="005733C9">
        <w:t xml:space="preserve">obligations procédurales, mais </w:t>
      </w:r>
      <w:r w:rsidR="005C3048">
        <w:t>surtout</w:t>
      </w:r>
      <w:r w:rsidR="005733C9">
        <w:t xml:space="preserve"> la Cour de justice prend soin de rappeler que cette disposition doit être interprétée à la lumière de la Charte des droits fondamentaux de l</w:t>
      </w:r>
      <w:r w:rsidR="005775D7">
        <w:t>’</w:t>
      </w:r>
      <w:r w:rsidR="005733C9">
        <w:t xml:space="preserve">Union </w:t>
      </w:r>
      <w:r w:rsidR="005733C9">
        <w:lastRenderedPageBreak/>
        <w:t>(et en particulier de son article 24)</w:t>
      </w:r>
      <w:r w:rsidR="005733C9">
        <w:rPr>
          <w:rStyle w:val="Appelnotedebasdep"/>
        </w:rPr>
        <w:footnoteReference w:id="115"/>
      </w:r>
      <w:r w:rsidR="005733C9">
        <w:t>.</w:t>
      </w:r>
      <w:r w:rsidR="00662ABE">
        <w:t xml:space="preserve"> </w:t>
      </w:r>
      <w:r w:rsidR="0050500F" w:rsidRPr="0050500F">
        <w:t xml:space="preserve">Cela étant, le cas de l’enlèvement d’enfant témoigne aussi de la persistance de </w:t>
      </w:r>
      <w:r w:rsidR="0050500F">
        <w:t>difficultés</w:t>
      </w:r>
      <w:r w:rsidR="0050500F" w:rsidRPr="0050500F">
        <w:t xml:space="preserve"> que </w:t>
      </w:r>
      <w:r w:rsidR="0050500F">
        <w:t>suscite</w:t>
      </w:r>
      <w:r w:rsidR="0050500F" w:rsidRPr="0050500F">
        <w:t xml:space="preserve"> la reconnaissance mutuelle dans l’articulation des systèmes juridiques. En effet, malgré </w:t>
      </w:r>
      <w:r w:rsidR="00657055">
        <w:t xml:space="preserve">la reconnaissance du primat </w:t>
      </w:r>
      <w:r w:rsidR="00FF7BCC">
        <w:t>de l</w:t>
      </w:r>
      <w:r w:rsidR="005775D7">
        <w:t>’</w:t>
      </w:r>
      <w:r w:rsidR="00FF7BCC">
        <w:t>intérêt de l</w:t>
      </w:r>
      <w:r w:rsidR="005775D7">
        <w:t>’</w:t>
      </w:r>
      <w:r w:rsidR="00FF7BCC">
        <w:t xml:space="preserve">enfant, la mise </w:t>
      </w:r>
      <w:r w:rsidR="00657055">
        <w:t>en œuvre du règlement Bruxelles </w:t>
      </w:r>
      <w:r w:rsidR="00FF7BCC">
        <w:t xml:space="preserve">II </w:t>
      </w:r>
      <w:r w:rsidR="00FF7BCC" w:rsidRPr="0097120F">
        <w:rPr>
          <w:i/>
        </w:rPr>
        <w:t>bis</w:t>
      </w:r>
      <w:r w:rsidR="00FF7BCC">
        <w:t xml:space="preserve"> a </w:t>
      </w:r>
      <w:r w:rsidR="005C3048">
        <w:t xml:space="preserve">en effet </w:t>
      </w:r>
      <w:r w:rsidR="00FF7BCC">
        <w:t xml:space="preserve">pu conduire la </w:t>
      </w:r>
      <w:r w:rsidR="001B7C19">
        <w:t>C</w:t>
      </w:r>
      <w:r w:rsidR="00FF7BCC">
        <w:t>EDH</w:t>
      </w:r>
      <w:r w:rsidR="00657055">
        <w:t xml:space="preserve"> a identifié</w:t>
      </w:r>
      <w:r w:rsidR="00F972E1">
        <w:t>, dans un cas concret,</w:t>
      </w:r>
      <w:r w:rsidR="00657055">
        <w:t xml:space="preserve"> </w:t>
      </w:r>
      <w:r w:rsidR="00FF7BCC">
        <w:t xml:space="preserve">une </w:t>
      </w:r>
      <w:r w:rsidR="0050500F">
        <w:t>atteinte</w:t>
      </w:r>
      <w:r w:rsidR="00FF7BCC">
        <w:t xml:space="preserve"> non nécessaire dans une société démocratique du droit à la vie familiale protégé par l</w:t>
      </w:r>
      <w:r w:rsidR="005775D7">
        <w:t>’</w:t>
      </w:r>
      <w:r w:rsidR="00FF7BCC">
        <w:t>article 8 de la Convention</w:t>
      </w:r>
      <w:r w:rsidR="00FF7BCC">
        <w:rPr>
          <w:rStyle w:val="Appelnotedebasdep"/>
        </w:rPr>
        <w:footnoteReference w:id="116"/>
      </w:r>
      <w:r w:rsidR="00FF7BCC">
        <w:t>.</w:t>
      </w:r>
      <w:r w:rsidR="00F972E1">
        <w:t xml:space="preserve"> Cette affaire illustre </w:t>
      </w:r>
      <w:r w:rsidR="00F972E1" w:rsidRPr="00F23EB1">
        <w:t>« les limites de l</w:t>
      </w:r>
      <w:r w:rsidR="005775D7" w:rsidRPr="00F23EB1">
        <w:t>’</w:t>
      </w:r>
      <w:r w:rsidR="00F972E1" w:rsidRPr="00F23EB1">
        <w:t>approche systémique</w:t>
      </w:r>
      <w:r w:rsidR="00657055" w:rsidRPr="00F23EB1">
        <w:t> </w:t>
      </w:r>
      <w:r w:rsidR="00F972E1" w:rsidRPr="00F23EB1">
        <w:t>»</w:t>
      </w:r>
      <w:r w:rsidR="00F972E1">
        <w:rPr>
          <w:rStyle w:val="Appelnotedebasdep"/>
        </w:rPr>
        <w:footnoteReference w:id="117"/>
      </w:r>
      <w:r w:rsidR="00657055">
        <w:t>, et il faut donc souhaiter que l</w:t>
      </w:r>
      <w:r w:rsidR="005775D7">
        <w:t>’</w:t>
      </w:r>
      <w:r w:rsidR="00657055">
        <w:t>évolution conduite dans l</w:t>
      </w:r>
      <w:r w:rsidR="005775D7">
        <w:t>’</w:t>
      </w:r>
      <w:r w:rsidR="00657055">
        <w:t xml:space="preserve">arrêt </w:t>
      </w:r>
      <w:r w:rsidR="00657055">
        <w:rPr>
          <w:i/>
        </w:rPr>
        <w:t xml:space="preserve">C.K. c. Slovénie </w:t>
      </w:r>
      <w:r w:rsidR="00657055">
        <w:t>sous la notion de « situation exceptionnelle » soit amenée à se généraliser</w:t>
      </w:r>
      <w:r w:rsidR="00F972E1">
        <w:t>.</w:t>
      </w:r>
      <w:r w:rsidR="0025426C">
        <w:t xml:space="preserve"> </w:t>
      </w:r>
      <w:r w:rsidR="006D5144">
        <w:t>La</w:t>
      </w:r>
      <w:r w:rsidR="00657055">
        <w:t xml:space="preserve"> jurisprudence européenne</w:t>
      </w:r>
      <w:r w:rsidR="0025426C">
        <w:t xml:space="preserve"> </w:t>
      </w:r>
      <w:r w:rsidR="006D5144">
        <w:t xml:space="preserve">doit en effet </w:t>
      </w:r>
      <w:r w:rsidR="0025426C">
        <w:t>s</w:t>
      </w:r>
      <w:r w:rsidR="005775D7">
        <w:t>’</w:t>
      </w:r>
      <w:r w:rsidR="006D5144">
        <w:t>ouvrir</w:t>
      </w:r>
      <w:r w:rsidR="0025426C">
        <w:t xml:space="preserve"> aux exigences légitimes des Etats membres, parties à la Convention et liés par leurs traditions constitutionnelles</w:t>
      </w:r>
      <w:r w:rsidR="006D5144">
        <w:t>, au risque sinon de miner la confiance mutuelle qui supporte l</w:t>
      </w:r>
      <w:r w:rsidR="005775D7">
        <w:t>’</w:t>
      </w:r>
      <w:r w:rsidR="006D5144">
        <w:t>application du principe de reconnaissance mutuelle</w:t>
      </w:r>
      <w:r w:rsidR="00FE306B">
        <w:t xml:space="preserve">. </w:t>
      </w:r>
    </w:p>
    <w:p w14:paraId="42C1A178" w14:textId="3674C7BF" w:rsidR="0011482F" w:rsidRPr="00DB2795" w:rsidRDefault="00657055" w:rsidP="002D76FA">
      <w:r>
        <w:t xml:space="preserve">Il est </w:t>
      </w:r>
      <w:r w:rsidR="006D5144">
        <w:t xml:space="preserve">toutefois </w:t>
      </w:r>
      <w:r>
        <w:t xml:space="preserve">possible de penser </w:t>
      </w:r>
      <w:r w:rsidR="006D5144">
        <w:t>que le respect des standards minimum en matière de garantie des droits fondamentaux relève</w:t>
      </w:r>
      <w:r>
        <w:t xml:space="preserve"> </w:t>
      </w:r>
      <w:r w:rsidR="002D76FA">
        <w:t xml:space="preserve">également </w:t>
      </w:r>
      <w:r>
        <w:t>de la responsabili</w:t>
      </w:r>
      <w:r w:rsidR="00664F0E" w:rsidRPr="00726D13">
        <w:t xml:space="preserve">té collective </w:t>
      </w:r>
      <w:r>
        <w:t>de des juridictions</w:t>
      </w:r>
      <w:r w:rsidR="002D76FA">
        <w:t xml:space="preserve"> nationales</w:t>
      </w:r>
      <w:r>
        <w:t xml:space="preserve"> concerné</w:t>
      </w:r>
      <w:r w:rsidR="006D5144">
        <w:t>es par les actes transnationaux</w:t>
      </w:r>
      <w:r w:rsidR="008D5569" w:rsidRPr="006D5144">
        <w:rPr>
          <w:rStyle w:val="Appelnotedebasdep"/>
        </w:rPr>
        <w:footnoteReference w:id="118"/>
      </w:r>
      <w:r w:rsidR="006D5144" w:rsidRPr="006D5144">
        <w:t>.</w:t>
      </w:r>
      <w:r w:rsidR="002D76FA">
        <w:t xml:space="preserve"> Dans cette perspective, plusieurs d</w:t>
      </w:r>
      <w:r w:rsidR="005775D7">
        <w:t>’</w:t>
      </w:r>
      <w:r w:rsidR="002D76FA">
        <w:t>entre elles ont considéré ne pas pouvoir appliquer le principe de reconnaissance mutuelle</w:t>
      </w:r>
      <w:r w:rsidR="00DB2795">
        <w:t>,</w:t>
      </w:r>
      <w:r w:rsidR="002D76FA">
        <w:t xml:space="preserve"> sans s</w:t>
      </w:r>
      <w:r w:rsidR="005775D7">
        <w:t>’</w:t>
      </w:r>
      <w:r w:rsidR="002D76FA">
        <w:t>interroger sur la réalité de l</w:t>
      </w:r>
      <w:r w:rsidR="005775D7">
        <w:t>’</w:t>
      </w:r>
      <w:r w:rsidR="002D76FA">
        <w:t>équivalence de protection dans les ordres juridiques en cause. Ainsi, pour la Cour suprême du Royaume-Uni, en matière d</w:t>
      </w:r>
      <w:r w:rsidR="005775D7">
        <w:t>’</w:t>
      </w:r>
      <w:r w:rsidR="002D76FA">
        <w:t xml:space="preserve">asile la </w:t>
      </w:r>
      <w:r w:rsidR="0011482F" w:rsidRPr="0011482F">
        <w:t xml:space="preserve">notion de « défaillance systémique » </w:t>
      </w:r>
      <w:r w:rsidR="002D76FA">
        <w:t>i</w:t>
      </w:r>
      <w:r w:rsidR="0011482F">
        <w:t>mpos</w:t>
      </w:r>
      <w:r w:rsidR="002D76FA">
        <w:t>e</w:t>
      </w:r>
      <w:r w:rsidR="0011482F">
        <w:t xml:space="preserve"> un examen individuel de la situation des </w:t>
      </w:r>
      <w:r w:rsidR="0011482F">
        <w:lastRenderedPageBreak/>
        <w:t xml:space="preserve">demandeurs </w:t>
      </w:r>
      <w:r w:rsidR="002D76FA">
        <w:t>avant tout</w:t>
      </w:r>
      <w:r w:rsidR="0011482F">
        <w:t xml:space="preserve"> </w:t>
      </w:r>
      <w:r w:rsidR="002D76FA">
        <w:t>transfert</w:t>
      </w:r>
      <w:r w:rsidR="002D76FA">
        <w:rPr>
          <w:rStyle w:val="Appelnotedebasdep"/>
        </w:rPr>
        <w:footnoteReference w:id="119"/>
      </w:r>
      <w:r w:rsidR="0011482F">
        <w:t>.</w:t>
      </w:r>
      <w:r w:rsidR="00947A4E">
        <w:t xml:space="preserve"> Dans le même sens, on peut </w:t>
      </w:r>
      <w:r w:rsidR="00F765CD">
        <w:t>comprendre la décision de la Cour constitutionnelle allemande</w:t>
      </w:r>
      <w:r w:rsidR="00947A4E">
        <w:t xml:space="preserve"> du 15 décembre 2015</w:t>
      </w:r>
      <w:r w:rsidR="00F765CD">
        <w:t>,</w:t>
      </w:r>
      <w:r w:rsidR="00947A4E">
        <w:t xml:space="preserve"> comme étant l</w:t>
      </w:r>
      <w:r w:rsidR="005775D7">
        <w:t>’</w:t>
      </w:r>
      <w:r w:rsidR="00947A4E">
        <w:t xml:space="preserve">occasion pour la </w:t>
      </w:r>
      <w:r w:rsidR="00F765CD">
        <w:t>celle-ci</w:t>
      </w:r>
      <w:r w:rsidR="00085BA3">
        <w:t xml:space="preserve"> d</w:t>
      </w:r>
      <w:r w:rsidR="005775D7">
        <w:t>’</w:t>
      </w:r>
      <w:r w:rsidR="00F765CD">
        <w:t>affirmer une faculté</w:t>
      </w:r>
      <w:r w:rsidR="00085BA3">
        <w:t xml:space="preserve"> de « </w:t>
      </w:r>
      <w:r w:rsidR="00947A4E">
        <w:t>s</w:t>
      </w:r>
      <w:r w:rsidR="005775D7">
        <w:t>’</w:t>
      </w:r>
      <w:r w:rsidR="00947A4E">
        <w:t xml:space="preserve">écarter “au cas par cas” </w:t>
      </w:r>
      <w:r w:rsidR="00947A4E">
        <w:rPr>
          <w:rStyle w:val="documentfirstua"/>
        </w:rPr>
        <w:t xml:space="preserve">du cadre posé par la jurisprudence </w:t>
      </w:r>
      <w:r w:rsidR="00947A4E" w:rsidRPr="008D5569">
        <w:rPr>
          <w:rStyle w:val="documentfirstua"/>
          <w:i/>
          <w:iCs/>
        </w:rPr>
        <w:t>Solange 2</w:t>
      </w:r>
      <w:r w:rsidR="00947A4E">
        <w:rPr>
          <w:rStyle w:val="documentfirstua"/>
        </w:rPr>
        <w:t>, fondé sur le constat d</w:t>
      </w:r>
      <w:r w:rsidR="005775D7">
        <w:rPr>
          <w:rStyle w:val="documentfirstua"/>
        </w:rPr>
        <w:t>’</w:t>
      </w:r>
      <w:r w:rsidR="00947A4E">
        <w:rPr>
          <w:rStyle w:val="documentfirstua"/>
        </w:rPr>
        <w:t xml:space="preserve">une équivalence de protection et emportant un dessaisissement de la Cour allemande au profit des juges de </w:t>
      </w:r>
      <w:r w:rsidR="001D623E">
        <w:rPr>
          <w:rStyle w:val="documentfirstua"/>
        </w:rPr>
        <w:t>Luxembourg</w:t>
      </w:r>
      <w:r w:rsidR="00947A4E">
        <w:t> »</w:t>
      </w:r>
      <w:r w:rsidR="001D623E">
        <w:rPr>
          <w:rStyle w:val="Appelnotedebasdep"/>
        </w:rPr>
        <w:footnoteReference w:id="120"/>
      </w:r>
      <w:r w:rsidR="00F765CD">
        <w:t xml:space="preserve">, </w:t>
      </w:r>
      <w:r w:rsidR="001D623E">
        <w:t>en exerçant indirectement mais nécessairement un contrôle sur le respect par l</w:t>
      </w:r>
      <w:r w:rsidR="005775D7">
        <w:t>’</w:t>
      </w:r>
      <w:r w:rsidR="001D623E">
        <w:t>Etat d</w:t>
      </w:r>
      <w:r w:rsidR="005775D7">
        <w:t>’</w:t>
      </w:r>
      <w:r w:rsidR="001D623E">
        <w:t xml:space="preserve">émission </w:t>
      </w:r>
      <w:r w:rsidR="00FC17E5">
        <w:t>d</w:t>
      </w:r>
      <w:r w:rsidR="005775D7">
        <w:t>’</w:t>
      </w:r>
      <w:r w:rsidR="00FC17E5">
        <w:t>un mandat d</w:t>
      </w:r>
      <w:r w:rsidR="005775D7">
        <w:t>’</w:t>
      </w:r>
      <w:r w:rsidR="00FC17E5">
        <w:t xml:space="preserve">arrêt </w:t>
      </w:r>
      <w:r w:rsidR="001D623E">
        <w:t xml:space="preserve">des dispositions fondamentales </w:t>
      </w:r>
      <w:r w:rsidR="00FC17E5">
        <w:t>pour</w:t>
      </w:r>
      <w:r w:rsidR="001D623E">
        <w:t xml:space="preserve"> l</w:t>
      </w:r>
      <w:r w:rsidR="005775D7">
        <w:t>’</w:t>
      </w:r>
      <w:r w:rsidR="001D623E">
        <w:t xml:space="preserve">ordre </w:t>
      </w:r>
      <w:r w:rsidR="00FC17E5">
        <w:t>juridique</w:t>
      </w:r>
      <w:r w:rsidR="001D623E">
        <w:t xml:space="preserve"> allemand.</w:t>
      </w:r>
    </w:p>
    <w:p w14:paraId="6841EBB9" w14:textId="0A2C72D8" w:rsidR="008B06ED" w:rsidRDefault="0050500F" w:rsidP="008B06ED">
      <w:r>
        <w:t>Certes, cette</w:t>
      </w:r>
      <w:r w:rsidR="003A7038">
        <w:t xml:space="preserve"> logique de contrôle mutuel</w:t>
      </w:r>
      <w:r w:rsidR="00FC17E5">
        <w:t xml:space="preserve"> </w:t>
      </w:r>
      <w:r w:rsidR="00DB2795">
        <w:t>semble</w:t>
      </w:r>
      <w:r w:rsidR="003A7038">
        <w:t xml:space="preserve"> </w:t>
      </w:r>
      <w:r w:rsidR="00DB2795">
        <w:t xml:space="preserve">aller </w:t>
      </w:r>
      <w:r w:rsidR="003A7038">
        <w:t>à l</w:t>
      </w:r>
      <w:r w:rsidR="005775D7">
        <w:t>’</w:t>
      </w:r>
      <w:r w:rsidR="003A7038">
        <w:t>encontre de l</w:t>
      </w:r>
      <w:r w:rsidR="005775D7">
        <w:t>’</w:t>
      </w:r>
      <w:r w:rsidR="003A7038">
        <w:t>affirm</w:t>
      </w:r>
      <w:r w:rsidR="00FC17E5">
        <w:t>ation par l</w:t>
      </w:r>
      <w:r w:rsidR="005775D7">
        <w:t>’</w:t>
      </w:r>
      <w:r w:rsidR="008B06ED">
        <w:t>avis </w:t>
      </w:r>
      <w:r w:rsidR="00FC17E5">
        <w:t xml:space="preserve">2/13 selon laquelle </w:t>
      </w:r>
      <w:r w:rsidR="003A7038">
        <w:t xml:space="preserve">la </w:t>
      </w:r>
      <w:r w:rsidR="004F41D8">
        <w:t>confiance mutuelle</w:t>
      </w:r>
      <w:r w:rsidR="003A7038">
        <w:t xml:space="preserve"> </w:t>
      </w:r>
      <w:r w:rsidR="008B06ED">
        <w:t>peut interdire</w:t>
      </w:r>
      <w:r w:rsidR="003A7038">
        <w:t xml:space="preserve"> aux </w:t>
      </w:r>
      <w:r w:rsidR="0009745C">
        <w:t>Etats membre</w:t>
      </w:r>
      <w:r w:rsidR="003A7038">
        <w:t xml:space="preserve"> « de vérifier si [un] autre </w:t>
      </w:r>
      <w:r w:rsidR="0009745C">
        <w:t>Etat membre</w:t>
      </w:r>
      <w:r w:rsidR="003A7038">
        <w:t xml:space="preserve"> a effectivement respecté, dans un cas concret, les droits fondamentaux garantis par l</w:t>
      </w:r>
      <w:r w:rsidR="005775D7">
        <w:t>’</w:t>
      </w:r>
      <w:r w:rsidR="003A7038">
        <w:t>Union »</w:t>
      </w:r>
      <w:r w:rsidR="008B06ED" w:rsidRPr="00DB2795">
        <w:rPr>
          <w:rStyle w:val="Appelnotedebasdep"/>
        </w:rPr>
        <w:footnoteReference w:id="121"/>
      </w:r>
      <w:r w:rsidR="003A7038">
        <w:t xml:space="preserve">. </w:t>
      </w:r>
      <w:r w:rsidR="00DB2795">
        <w:t>La Cour de justice</w:t>
      </w:r>
      <w:r w:rsidR="003A7038">
        <w:t xml:space="preserve"> </w:t>
      </w:r>
      <w:r w:rsidR="008B06ED">
        <w:t xml:space="preserve">paraît </w:t>
      </w:r>
      <w:r w:rsidR="003A7038">
        <w:t xml:space="preserve">toutefois </w:t>
      </w:r>
      <w:r w:rsidR="008B06ED">
        <w:t xml:space="preserve">introduit avoir abandonné </w:t>
      </w:r>
      <w:r w:rsidR="003A7038">
        <w:t xml:space="preserve">ce raisonnement, en </w:t>
      </w:r>
      <w:r w:rsidR="008B06ED">
        <w:t xml:space="preserve">conciliant dans ses décisions ultérieures </w:t>
      </w:r>
      <w:r w:rsidR="003A7038">
        <w:t>la confiance mutuelle avec l</w:t>
      </w:r>
      <w:r w:rsidR="005775D7">
        <w:t>’</w:t>
      </w:r>
      <w:r w:rsidR="003A7038">
        <w:t>obligation de prendre en compte les éléments pertinents avancés par le requérant</w:t>
      </w:r>
      <w:r w:rsidR="008B06ED">
        <w:t xml:space="preserve"> de nature à établir l</w:t>
      </w:r>
      <w:r w:rsidR="005775D7">
        <w:t>’</w:t>
      </w:r>
      <w:r w:rsidR="008B06ED">
        <w:t>existence de « circonstances exceptionnelles »</w:t>
      </w:r>
      <w:r w:rsidR="00FC17E5">
        <w:rPr>
          <w:rStyle w:val="Appelnotedebasdep"/>
        </w:rPr>
        <w:footnoteReference w:id="122"/>
      </w:r>
      <w:r w:rsidR="003A7038">
        <w:t>.</w:t>
      </w:r>
    </w:p>
    <w:p w14:paraId="37524824" w14:textId="31071607" w:rsidR="008A643A" w:rsidRDefault="008A643A" w:rsidP="008B06ED">
      <w:r w:rsidRPr="00206868">
        <w:t>Ce</w:t>
      </w:r>
      <w:r w:rsidR="008B06ED" w:rsidRPr="00206868">
        <w:t>tte évolution</w:t>
      </w:r>
      <w:r w:rsidRPr="00206868">
        <w:t xml:space="preserve"> </w:t>
      </w:r>
      <w:r w:rsidR="00E61D8C" w:rsidRPr="00206868">
        <w:t>démontre qu</w:t>
      </w:r>
      <w:r w:rsidR="005775D7">
        <w:t>’</w:t>
      </w:r>
      <w:r w:rsidR="00E61D8C" w:rsidRPr="00206868">
        <w:t>il est tout à fait possible d</w:t>
      </w:r>
      <w:r w:rsidR="005775D7">
        <w:t>’</w:t>
      </w:r>
      <w:r w:rsidR="00E61D8C" w:rsidRPr="00206868">
        <w:t>écarter l</w:t>
      </w:r>
      <w:r w:rsidR="005775D7">
        <w:t>’</w:t>
      </w:r>
      <w:r w:rsidR="00E61D8C" w:rsidRPr="00206868">
        <w:t>idée selon laquelle</w:t>
      </w:r>
      <w:r w:rsidRPr="00206868">
        <w:t xml:space="preserve"> </w:t>
      </w:r>
      <w:r w:rsidR="00E61D8C">
        <w:t>« la </w:t>
      </w:r>
      <w:r>
        <w:t xml:space="preserve">vérification du respect des droits fondamentaux par un autre </w:t>
      </w:r>
      <w:r w:rsidR="008B06ED">
        <w:t>E</w:t>
      </w:r>
      <w:r>
        <w:t>tat membre</w:t>
      </w:r>
      <w:r w:rsidR="00E61D8C">
        <w:t xml:space="preserve"> </w:t>
      </w:r>
      <w:r>
        <w:t>[...] est susceptible de compromettre l</w:t>
      </w:r>
      <w:r w:rsidR="005775D7">
        <w:t>’</w:t>
      </w:r>
      <w:r>
        <w:t>équilibre sur lequel l</w:t>
      </w:r>
      <w:r w:rsidR="005775D7">
        <w:t>’</w:t>
      </w:r>
      <w:r>
        <w:t>Union est fondée »</w:t>
      </w:r>
      <w:r w:rsidR="008B06ED">
        <w:rPr>
          <w:rStyle w:val="Appelnotedebasdep"/>
        </w:rPr>
        <w:footnoteReference w:id="123"/>
      </w:r>
      <w:r w:rsidR="00E61D8C">
        <w:t xml:space="preserve">. Au contraire, il </w:t>
      </w:r>
      <w:r>
        <w:t xml:space="preserve">est possible </w:t>
      </w:r>
      <w:r w:rsidR="00E61D8C">
        <w:t xml:space="preserve">de comprendre ce contrôle mutuel </w:t>
      </w:r>
      <w:r>
        <w:t>comme la garantie de cet équilibre</w:t>
      </w:r>
      <w:r w:rsidR="00E61D8C">
        <w:t xml:space="preserve">, </w:t>
      </w:r>
      <w:r>
        <w:t xml:space="preserve">comme la condition </w:t>
      </w:r>
      <w:r w:rsidR="00E61D8C">
        <w:t xml:space="preserve">autrement dit </w:t>
      </w:r>
      <w:r>
        <w:t>de l</w:t>
      </w:r>
      <w:r w:rsidR="005775D7">
        <w:t>’</w:t>
      </w:r>
      <w:r>
        <w:t xml:space="preserve">effectivité de la confiance mutuelle et </w:t>
      </w:r>
      <w:r w:rsidRPr="00E61D8C">
        <w:rPr>
          <w:i/>
        </w:rPr>
        <w:t>in fine</w:t>
      </w:r>
      <w:r>
        <w:t xml:space="preserve"> des instruments de coopération adoptés au service de la construction d</w:t>
      </w:r>
      <w:r w:rsidR="005775D7">
        <w:t>’</w:t>
      </w:r>
      <w:r w:rsidR="00E61D8C">
        <w:t>un espace transnational</w:t>
      </w:r>
      <w:r>
        <w:t xml:space="preserve"> respectueux des valeurs fond</w:t>
      </w:r>
      <w:r w:rsidR="00206868">
        <w:t>atrices des articles 2 et 6 TUE</w:t>
      </w:r>
      <w:r w:rsidR="00206868">
        <w:rPr>
          <w:rStyle w:val="Appelnotedebasdep"/>
        </w:rPr>
        <w:footnoteReference w:id="124"/>
      </w:r>
      <w:r>
        <w:t xml:space="preserve">. </w:t>
      </w:r>
    </w:p>
    <w:p w14:paraId="6AA64C8A" w14:textId="1027DA02" w:rsidR="000263F3" w:rsidRDefault="00065DF1" w:rsidP="00257DA2">
      <w:r>
        <w:t>L</w:t>
      </w:r>
      <w:r w:rsidR="00865F3E">
        <w:t>e président de la Cour constitutionnelle allemande,</w:t>
      </w:r>
      <w:r w:rsidR="00114CDA">
        <w:t xml:space="preserve"> </w:t>
      </w:r>
      <w:r w:rsidR="00114CDA">
        <w:rPr>
          <w:rStyle w:val="st"/>
        </w:rPr>
        <w:t xml:space="preserve">Andreas </w:t>
      </w:r>
      <w:proofErr w:type="spellStart"/>
      <w:r w:rsidR="00114CDA">
        <w:rPr>
          <w:rStyle w:val="st"/>
        </w:rPr>
        <w:t>Voßkuhle</w:t>
      </w:r>
      <w:proofErr w:type="spellEnd"/>
      <w:r w:rsidR="00114CDA">
        <w:rPr>
          <w:rStyle w:val="st"/>
        </w:rPr>
        <w:t>,</w:t>
      </w:r>
      <w:r w:rsidR="00865F3E">
        <w:t xml:space="preserve"> défend ainsi l</w:t>
      </w:r>
      <w:r w:rsidR="005775D7">
        <w:t>’</w:t>
      </w:r>
      <w:r w:rsidR="00865F3E">
        <w:t>idée d</w:t>
      </w:r>
      <w:r w:rsidR="005775D7">
        <w:t>’</w:t>
      </w:r>
      <w:r w:rsidR="00865F3E">
        <w:t xml:space="preserve">une </w:t>
      </w:r>
      <w:r w:rsidR="004F41D8">
        <w:t>confiance mutuelle</w:t>
      </w:r>
      <w:r w:rsidR="00865F3E">
        <w:t xml:space="preserve"> conditionnée</w:t>
      </w:r>
      <w:r>
        <w:t>,</w:t>
      </w:r>
      <w:r w:rsidR="00865F3E">
        <w:t xml:space="preserve"> vecteur d</w:t>
      </w:r>
      <w:r w:rsidR="005775D7">
        <w:t>’</w:t>
      </w:r>
      <w:r w:rsidR="007B1CF0">
        <w:t>une « </w:t>
      </w:r>
      <w:r w:rsidR="007B1CF0" w:rsidRPr="007B1CF0">
        <w:t>“</w:t>
      </w:r>
      <w:r w:rsidR="00865F3E">
        <w:t xml:space="preserve">intégration par le droit”, visant une </w:t>
      </w:r>
      <w:r w:rsidR="00865F3E">
        <w:lastRenderedPageBreak/>
        <w:t>protection maximale des droits et libertés »</w:t>
      </w:r>
      <w:r w:rsidR="00865F3E">
        <w:rPr>
          <w:rStyle w:val="Appelnotedebasdep"/>
        </w:rPr>
        <w:footnoteReference w:id="125"/>
      </w:r>
      <w:r w:rsidR="00865F3E">
        <w:t xml:space="preserve">. </w:t>
      </w:r>
      <w:r w:rsidR="00DA7FAF">
        <w:t>Dans cette perspective, la lecture de l</w:t>
      </w:r>
      <w:r w:rsidR="005775D7">
        <w:t>’</w:t>
      </w:r>
      <w:r w:rsidR="00DA7FAF">
        <w:t xml:space="preserve">article 53 de la </w:t>
      </w:r>
      <w:r w:rsidR="00397647">
        <w:t>Charte</w:t>
      </w:r>
      <w:r w:rsidR="00DA7FAF">
        <w:t xml:space="preserve"> défendue par la Cour de justice de l</w:t>
      </w:r>
      <w:r w:rsidR="005775D7">
        <w:t>’</w:t>
      </w:r>
      <w:r w:rsidR="00DA7FAF">
        <w:t>UE dans l</w:t>
      </w:r>
      <w:r w:rsidR="005775D7">
        <w:t>’</w:t>
      </w:r>
      <w:r w:rsidR="00DA7FAF">
        <w:t xml:space="preserve">affaire </w:t>
      </w:r>
      <w:proofErr w:type="spellStart"/>
      <w:r w:rsidR="00DA7FAF">
        <w:rPr>
          <w:i/>
        </w:rPr>
        <w:t>Aklagaeren</w:t>
      </w:r>
      <w:proofErr w:type="spellEnd"/>
      <w:r w:rsidR="00DA7FAF">
        <w:rPr>
          <w:i/>
        </w:rPr>
        <w:t xml:space="preserve"> </w:t>
      </w:r>
      <w:r w:rsidR="00DA7FAF">
        <w:t>est-elle tenable ?</w:t>
      </w:r>
      <w:r w:rsidR="00114CDA">
        <w:t xml:space="preserve"> N</w:t>
      </w:r>
      <w:r w:rsidR="005775D7">
        <w:t>’</w:t>
      </w:r>
      <w:r w:rsidR="00114CDA">
        <w:t>est-ce pas au prix d</w:t>
      </w:r>
      <w:r w:rsidR="005775D7">
        <w:t>’</w:t>
      </w:r>
      <w:r w:rsidR="00114CDA">
        <w:t>une sensibilité accrue, voire d</w:t>
      </w:r>
      <w:r w:rsidR="005775D7">
        <w:t>’</w:t>
      </w:r>
      <w:r w:rsidR="00114CDA">
        <w:t xml:space="preserve">une plus grande perméabilité </w:t>
      </w:r>
      <w:r w:rsidR="008B06D7">
        <w:t xml:space="preserve">de la norme européenne </w:t>
      </w:r>
      <w:r w:rsidR="00114CDA">
        <w:t>aux solutions axiologiques nationales que le « mythe »</w:t>
      </w:r>
      <w:r w:rsidR="00190B42">
        <w:rPr>
          <w:rStyle w:val="Appelnotedebasdep"/>
        </w:rPr>
        <w:footnoteReference w:id="126"/>
      </w:r>
      <w:r w:rsidR="00114CDA">
        <w:t xml:space="preserve"> de la primauté pourra être maintenu ? Il ne s</w:t>
      </w:r>
      <w:r w:rsidR="005775D7">
        <w:t>’</w:t>
      </w:r>
      <w:r w:rsidR="00114CDA">
        <w:t xml:space="preserve">agirait pas de reconnaître </w:t>
      </w:r>
      <w:r w:rsidR="008B06D7">
        <w:t>une</w:t>
      </w:r>
      <w:r w:rsidR="00114CDA">
        <w:t xml:space="preserve"> supériorité des secondes contre le premier</w:t>
      </w:r>
      <w:r w:rsidR="008B06D7">
        <w:t xml:space="preserve"> s</w:t>
      </w:r>
      <w:r w:rsidR="005775D7">
        <w:t>’</w:t>
      </w:r>
      <w:r w:rsidR="008B06D7">
        <w:t>imposant de l</w:t>
      </w:r>
      <w:r w:rsidR="005775D7">
        <w:t>’</w:t>
      </w:r>
      <w:r w:rsidR="008B06D7">
        <w:t>extérieure</w:t>
      </w:r>
      <w:r w:rsidR="00114CDA">
        <w:t>, mais</w:t>
      </w:r>
      <w:r w:rsidR="003C3DE6">
        <w:t xml:space="preserve"> – en conséquence d</w:t>
      </w:r>
      <w:r w:rsidR="005775D7">
        <w:t>’</w:t>
      </w:r>
      <w:r w:rsidR="003C3DE6">
        <w:t>un mouvement de congruence déjà ancien et au nom même de la confiance mutuelle</w:t>
      </w:r>
      <w:r w:rsidR="003C3DE6">
        <w:rPr>
          <w:rStyle w:val="Appelnotedebasdep"/>
        </w:rPr>
        <w:footnoteReference w:id="127"/>
      </w:r>
      <w:r w:rsidR="003C3DE6">
        <w:t xml:space="preserve"> –</w:t>
      </w:r>
      <w:r w:rsidR="003C3DE6" w:rsidRPr="003C3DE6">
        <w:t xml:space="preserve"> </w:t>
      </w:r>
      <w:r w:rsidR="003C3DE6">
        <w:t xml:space="preserve">de reconnaître </w:t>
      </w:r>
      <w:r w:rsidR="00114CDA">
        <w:t>au sein</w:t>
      </w:r>
      <w:r w:rsidR="008B06D7">
        <w:t xml:space="preserve"> même</w:t>
      </w:r>
      <w:r w:rsidR="00114CDA">
        <w:t xml:space="preserve"> de</w:t>
      </w:r>
      <w:r w:rsidR="008B06D7">
        <w:t xml:space="preserve"> l</w:t>
      </w:r>
      <w:r w:rsidR="005775D7">
        <w:t>’</w:t>
      </w:r>
      <w:r w:rsidR="008B06D7">
        <w:t>espace d</w:t>
      </w:r>
      <w:r w:rsidR="005775D7">
        <w:t>’</w:t>
      </w:r>
      <w:r w:rsidR="008B06D7">
        <w:t>intersection qu</w:t>
      </w:r>
      <w:r w:rsidR="005775D7">
        <w:t>’</w:t>
      </w:r>
      <w:r w:rsidR="008B06D7">
        <w:t xml:space="preserve">est le droit européen une </w:t>
      </w:r>
      <w:r w:rsidR="00114CDA">
        <w:t xml:space="preserve">exception </w:t>
      </w:r>
      <w:r w:rsidR="001C3B87">
        <w:t>à l</w:t>
      </w:r>
      <w:r w:rsidR="005775D7">
        <w:t>’</w:t>
      </w:r>
      <w:r w:rsidR="001C3B87">
        <w:t>objectif</w:t>
      </w:r>
      <w:r w:rsidR="008B06D7">
        <w:t xml:space="preserve"> de l</w:t>
      </w:r>
      <w:r w:rsidR="005775D7">
        <w:t>’</w:t>
      </w:r>
      <w:r w:rsidR="008B06D7">
        <w:t>uni</w:t>
      </w:r>
      <w:r w:rsidR="001C3B87">
        <w:t>formi</w:t>
      </w:r>
      <w:r w:rsidR="008B06D7">
        <w:t>té chaque fois que des valeurs fondatrices</w:t>
      </w:r>
      <w:r w:rsidR="008B06D7" w:rsidRPr="008B06D7">
        <w:t xml:space="preserve"> </w:t>
      </w:r>
      <w:r w:rsidR="008B06D7">
        <w:t>de l</w:t>
      </w:r>
      <w:r w:rsidR="005775D7">
        <w:t>’</w:t>
      </w:r>
      <w:r w:rsidR="008B06D7">
        <w:t>ordre inclusif sont mieux défendues au niveau national</w:t>
      </w:r>
      <w:r w:rsidR="008B06D7">
        <w:rPr>
          <w:rStyle w:val="Appelnotedebasdep"/>
        </w:rPr>
        <w:footnoteReference w:id="128"/>
      </w:r>
      <w:r w:rsidR="008B06D7">
        <w:t>.</w:t>
      </w:r>
    </w:p>
    <w:p w14:paraId="26C8DB64" w14:textId="3C5B5388" w:rsidR="001C3B87" w:rsidRDefault="001C3B87" w:rsidP="001C3B87">
      <w:pPr>
        <w:pStyle w:val="Titre2"/>
      </w:pPr>
      <w:r>
        <w:t>Conclusion</w:t>
      </w:r>
    </w:p>
    <w:p w14:paraId="0827B652" w14:textId="1EAAE049" w:rsidR="001C3B87" w:rsidRDefault="003E61F4" w:rsidP="003E61F4">
      <w:r>
        <w:t>L</w:t>
      </w:r>
      <w:r w:rsidR="005775D7">
        <w:t>’</w:t>
      </w:r>
      <w:r>
        <w:t>hypothèse poursuivie</w:t>
      </w:r>
      <w:r w:rsidR="001C3B87">
        <w:t xml:space="preserve"> paraît se vérifier : i</w:t>
      </w:r>
      <w:r>
        <w:t xml:space="preserve">l </w:t>
      </w:r>
      <w:r w:rsidR="001C3B87">
        <w:t>semble exister</w:t>
      </w:r>
      <w:r>
        <w:t xml:space="preserve"> u</w:t>
      </w:r>
      <w:r w:rsidR="00832983">
        <w:t>n</w:t>
      </w:r>
      <w:r w:rsidR="00643B9A">
        <w:t xml:space="preserve"> lien d</w:t>
      </w:r>
      <w:r w:rsidR="005775D7">
        <w:t>’</w:t>
      </w:r>
      <w:r w:rsidR="00643B9A">
        <w:t>information entre la reconnaissance mutuelle et la création d</w:t>
      </w:r>
      <w:r w:rsidR="005775D7">
        <w:t>’</w:t>
      </w:r>
      <w:r w:rsidR="00643B9A">
        <w:t>un espace commun, lien dans lequel l</w:t>
      </w:r>
      <w:r w:rsidR="005775D7">
        <w:t>’</w:t>
      </w:r>
      <w:r w:rsidR="00643B9A">
        <w:t>exception apparaît comme l</w:t>
      </w:r>
      <w:r w:rsidR="005775D7">
        <w:t>’</w:t>
      </w:r>
      <w:r w:rsidR="00643B9A">
        <w:t>instrument de mesure de l</w:t>
      </w:r>
      <w:r w:rsidR="005775D7">
        <w:t>’</w:t>
      </w:r>
      <w:r w:rsidR="00643B9A">
        <w:t>intensité et de la qualité de cette communauté de valeurs</w:t>
      </w:r>
      <w:r w:rsidR="00397647">
        <w:t xml:space="preserve"> toujours en construction</w:t>
      </w:r>
      <w:r w:rsidR="00643B9A">
        <w:t xml:space="preserve">. </w:t>
      </w:r>
    </w:p>
    <w:p w14:paraId="45B9EAF1" w14:textId="52510A9E" w:rsidR="003E61F4" w:rsidRDefault="003E61F4" w:rsidP="003E61F4">
      <w:r>
        <w:t>Ce lien prend toutefois des formes complexes. En effet, m</w:t>
      </w:r>
      <w:r w:rsidR="00643B9A">
        <w:t xml:space="preserve">ême lorsque sont </w:t>
      </w:r>
      <w:r w:rsidR="00643B9A" w:rsidRPr="00EB4B7C">
        <w:t>mise</w:t>
      </w:r>
      <w:r w:rsidR="00643B9A">
        <w:t>s</w:t>
      </w:r>
      <w:r w:rsidR="00643B9A" w:rsidRPr="00EB4B7C">
        <w:t xml:space="preserve"> en c</w:t>
      </w:r>
      <w:r w:rsidR="00643B9A">
        <w:t>ause des conditions limites, qui témoignent de la non-</w:t>
      </w:r>
      <w:r w:rsidR="00643B9A" w:rsidRPr="00EB4B7C">
        <w:t>hom</w:t>
      </w:r>
      <w:r w:rsidR="00643B9A">
        <w:t xml:space="preserve">ogénéité des sociétés étatiques de cet espace européen, la (non-)reconnaissance mutuelle </w:t>
      </w:r>
      <w:r w:rsidR="00643B9A" w:rsidRPr="00EB4B7C">
        <w:t xml:space="preserve">fonctionne </w:t>
      </w:r>
      <w:r w:rsidR="00643B9A" w:rsidRPr="00806FDD">
        <w:t xml:space="preserve">finalement </w:t>
      </w:r>
      <w:r w:rsidR="00643B9A">
        <w:t xml:space="preserve">toujours </w:t>
      </w:r>
      <w:r w:rsidR="00643B9A" w:rsidRPr="00EB4B7C">
        <w:t>dans une perspective communautaire</w:t>
      </w:r>
      <w:r w:rsidR="00643B9A">
        <w:t> : en cas d</w:t>
      </w:r>
      <w:r w:rsidR="005775D7">
        <w:t>’</w:t>
      </w:r>
      <w:r w:rsidR="00643B9A">
        <w:t>échec le droit européen décl</w:t>
      </w:r>
      <w:r>
        <w:t xml:space="preserve">enche un mécanisme, </w:t>
      </w:r>
      <w:r w:rsidR="001C3B87">
        <w:t xml:space="preserve">ou du moins une réflexion, </w:t>
      </w:r>
      <w:r>
        <w:t xml:space="preserve">qui est </w:t>
      </w:r>
      <w:r w:rsidR="00643B9A">
        <w:t>de nature à favoriser son avènement ultérieur.</w:t>
      </w:r>
      <w:r>
        <w:t xml:space="preserve"> </w:t>
      </w:r>
    </w:p>
    <w:p w14:paraId="1A6A4015" w14:textId="4355B2BF" w:rsidR="003E61F4" w:rsidRDefault="003E61F4" w:rsidP="003E61F4">
      <w:r>
        <w:t>Le mécanisme de la reconnaissance mutuelle s</w:t>
      </w:r>
      <w:r w:rsidR="005775D7">
        <w:t>’</w:t>
      </w:r>
      <w:r>
        <w:t>inscrit en ce sens dans une logique diachronique et dialectique d</w:t>
      </w:r>
      <w:r w:rsidR="005775D7">
        <w:t>’</w:t>
      </w:r>
      <w:r>
        <w:t>assimilation des disparités – soit parce qu</w:t>
      </w:r>
      <w:r w:rsidR="005775D7">
        <w:t>’</w:t>
      </w:r>
      <w:r>
        <w:t xml:space="preserve">elles sont minimes et </w:t>
      </w:r>
      <w:r>
        <w:lastRenderedPageBreak/>
        <w:t>n</w:t>
      </w:r>
      <w:r w:rsidR="005775D7">
        <w:t>’</w:t>
      </w:r>
      <w:r>
        <w:t>empêchent le bon fonctionnement de l</w:t>
      </w:r>
      <w:r w:rsidR="005775D7">
        <w:t>’</w:t>
      </w:r>
      <w:r>
        <w:t>espace ouvert, soit parce qu</w:t>
      </w:r>
      <w:r w:rsidR="005775D7">
        <w:t>’</w:t>
      </w:r>
      <w:r>
        <w:t xml:space="preserve">elles appellent en raison de leur gravité ou de leurs effets une réaction normative permettant le rapprochement des solutions et pratiques nationales, et ainsi la restauration de la confiance mutuelle qui elle-même conditionne la reconnaissance mutuelle. </w:t>
      </w:r>
    </w:p>
    <w:p w14:paraId="76FA98C1" w14:textId="1F41BFFA" w:rsidR="00955026" w:rsidRPr="00DA7FAF" w:rsidRDefault="003E61F4" w:rsidP="00643B9A">
      <w:r>
        <w:t>Au regard de l</w:t>
      </w:r>
      <w:r w:rsidR="005775D7">
        <w:t>’</w:t>
      </w:r>
      <w:r>
        <w:t>actualité, il est cependant possible de</w:t>
      </w:r>
      <w:r w:rsidR="00643B9A">
        <w:t xml:space="preserve"> craindre</w:t>
      </w:r>
      <w:r w:rsidR="001C3B87">
        <w:t>, si la Cour de justice n</w:t>
      </w:r>
      <w:r w:rsidR="005775D7">
        <w:t>’</w:t>
      </w:r>
      <w:r w:rsidR="001C3B87">
        <w:t xml:space="preserve">œuvre pas habilement, </w:t>
      </w:r>
      <w:r w:rsidR="00643B9A">
        <w:t>que surgisse un désaccord à ce point fondamental sur l</w:t>
      </w:r>
      <w:r w:rsidR="005775D7">
        <w:t>’</w:t>
      </w:r>
      <w:r w:rsidR="00643B9A">
        <w:t>éthique qui sert de lien à cette société européenne en construction, que les</w:t>
      </w:r>
      <w:r w:rsidR="00643B9A" w:rsidRPr="00EB4B7C">
        <w:t xml:space="preserve"> conditions </w:t>
      </w:r>
      <w:r w:rsidR="00643B9A">
        <w:t>d</w:t>
      </w:r>
      <w:r w:rsidR="005775D7">
        <w:t>’</w:t>
      </w:r>
      <w:r w:rsidR="00643B9A">
        <w:t>une reconnaissance mutuelle disparaissent, c</w:t>
      </w:r>
      <w:r w:rsidR="005775D7">
        <w:t>’</w:t>
      </w:r>
      <w:r w:rsidR="00643B9A">
        <w:t>est-à-dire que l</w:t>
      </w:r>
      <w:r w:rsidR="005775D7">
        <w:t>’</w:t>
      </w:r>
      <w:r w:rsidR="00643B9A">
        <w:t>altérité l</w:t>
      </w:r>
      <w:r w:rsidR="005775D7">
        <w:t>’</w:t>
      </w:r>
      <w:r w:rsidR="00643B9A">
        <w:t>emport</w:t>
      </w:r>
      <w:r w:rsidR="00DA0B47">
        <w:t>e définitivement sur le commun</w:t>
      </w:r>
      <w:r w:rsidR="00643B9A">
        <w:t>.</w:t>
      </w:r>
    </w:p>
    <w:sectPr w:rsidR="00955026" w:rsidRPr="00DA7FAF" w:rsidSect="00384EE3">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rançois-Vivien GUIOT" w:date="2018-04-06T02:30:00Z" w:initials="FVG">
    <w:p w14:paraId="7DFE71FE" w14:textId="77777777" w:rsidR="008932FA" w:rsidRPr="00510E4D" w:rsidRDefault="008932FA" w:rsidP="00B72B4C">
      <w:pPr>
        <w:spacing w:before="100" w:beforeAutospacing="1" w:after="100" w:afterAutospacing="1" w:line="240" w:lineRule="auto"/>
        <w:rPr>
          <w:rFonts w:eastAsia="Times New Roman" w:cstheme="minorHAnsi"/>
          <w:szCs w:val="24"/>
          <w:lang w:eastAsia="fr-FR"/>
        </w:rPr>
      </w:pPr>
      <w:r>
        <w:rPr>
          <w:rStyle w:val="Marquedecommentaire"/>
        </w:rPr>
        <w:annotationRef/>
      </w:r>
      <w:proofErr w:type="spellStart"/>
      <w:r>
        <w:t>Intégerr</w:t>
      </w:r>
      <w:proofErr w:type="spellEnd"/>
      <w:r>
        <w:t xml:space="preserve"> </w:t>
      </w:r>
      <w:hyperlink r:id="rId1" w:tgtFrame="_parent" w:history="1">
        <w:r w:rsidRPr="00112C14">
          <w:rPr>
            <w:rFonts w:eastAsia="Times New Roman" w:cstheme="minorHAnsi"/>
            <w:color w:val="0000FF"/>
            <w:szCs w:val="24"/>
            <w:u w:val="single"/>
            <w:lang w:eastAsia="fr-FR"/>
          </w:rPr>
          <w:t>CEDH, 1er févr. 2018, n° 51312/16, M.K c/ Grèce</w:t>
        </w:r>
      </w:hyperlink>
      <w:r w:rsidRPr="00510E4D">
        <w:rPr>
          <w:rFonts w:eastAsia="Times New Roman" w:cstheme="minorHAnsi"/>
          <w:szCs w:val="24"/>
          <w:lang w:eastAsia="fr-FR"/>
        </w:rPr>
        <w:t xml:space="preserve"> </w:t>
      </w:r>
    </w:p>
    <w:p w14:paraId="4F243BD5" w14:textId="44D01690" w:rsidR="008932FA" w:rsidRDefault="008932FA">
      <w:pPr>
        <w:pStyle w:val="Commentaire"/>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243BD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2C579" w14:textId="77777777" w:rsidR="00CD66CE" w:rsidRDefault="00CD66CE" w:rsidP="00384EE3">
      <w:pPr>
        <w:spacing w:after="0" w:line="240" w:lineRule="auto"/>
      </w:pPr>
      <w:r>
        <w:separator/>
      </w:r>
    </w:p>
  </w:endnote>
  <w:endnote w:type="continuationSeparator" w:id="0">
    <w:p w14:paraId="6983A651" w14:textId="77777777" w:rsidR="00CD66CE" w:rsidRDefault="00CD66CE" w:rsidP="0038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nionPro-Regular">
    <w:altName w:val="MS Mincho"/>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2267B" w14:textId="77777777" w:rsidR="00CD66CE" w:rsidRDefault="00CD66CE" w:rsidP="00384EE3">
      <w:pPr>
        <w:spacing w:after="0" w:line="240" w:lineRule="auto"/>
      </w:pPr>
      <w:r>
        <w:separator/>
      </w:r>
    </w:p>
  </w:footnote>
  <w:footnote w:type="continuationSeparator" w:id="0">
    <w:p w14:paraId="0B83C746" w14:textId="77777777" w:rsidR="00CD66CE" w:rsidRDefault="00CD66CE" w:rsidP="00384EE3">
      <w:pPr>
        <w:spacing w:after="0" w:line="240" w:lineRule="auto"/>
      </w:pPr>
      <w:r>
        <w:continuationSeparator/>
      </w:r>
    </w:p>
  </w:footnote>
  <w:footnote w:id="1">
    <w:p w14:paraId="232E8D94" w14:textId="77777777" w:rsidR="008932FA" w:rsidRPr="004042BD" w:rsidRDefault="008932FA" w:rsidP="00A31C28">
      <w:pPr>
        <w:pStyle w:val="Notedebasdepage"/>
        <w:spacing w:after="0"/>
      </w:pPr>
      <w:r>
        <w:rPr>
          <w:rStyle w:val="Appelnotedebasdep"/>
        </w:rPr>
        <w:footnoteRef/>
      </w:r>
      <w:r>
        <w:t xml:space="preserve"> Voir notamment à ce sujet : F. </w:t>
      </w:r>
      <w:proofErr w:type="spellStart"/>
      <w:r>
        <w:t>Fischbach</w:t>
      </w:r>
      <w:proofErr w:type="spellEnd"/>
      <w:r>
        <w:t xml:space="preserve">, </w:t>
      </w:r>
      <w:r w:rsidRPr="00266FF1">
        <w:rPr>
          <w:i/>
        </w:rPr>
        <w:t>Fichte et Hegel. La Reconnaissance</w:t>
      </w:r>
      <w:r>
        <w:t xml:space="preserve">, Paris, </w:t>
      </w:r>
      <w:proofErr w:type="spellStart"/>
      <w:r>
        <w:t>Puf</w:t>
      </w:r>
      <w:proofErr w:type="spellEnd"/>
      <w:r>
        <w:t xml:space="preserve">, 1999 ; A. Kojève, </w:t>
      </w:r>
      <w:r w:rsidRPr="00266FF1">
        <w:rPr>
          <w:i/>
        </w:rPr>
        <w:t>Introduction à la lecture de Hegel</w:t>
      </w:r>
      <w:r>
        <w:t xml:space="preserve">, Paris, Gallimard, 1947 ; et </w:t>
      </w:r>
      <w:r>
        <w:rPr>
          <w:rStyle w:val="y0nh2b"/>
        </w:rPr>
        <w:t xml:space="preserve">G. W. F. Hegel, </w:t>
      </w:r>
      <w:r>
        <w:rPr>
          <w:rStyle w:val="y0nh2b"/>
          <w:i/>
        </w:rPr>
        <w:t xml:space="preserve">Principes de philosophie du droit </w:t>
      </w:r>
      <w:r>
        <w:rPr>
          <w:rStyle w:val="y0nh2b"/>
        </w:rPr>
        <w:t xml:space="preserve">(éd. </w:t>
      </w:r>
      <w:proofErr w:type="gramStart"/>
      <w:r>
        <w:rPr>
          <w:rStyle w:val="y0nh2b"/>
        </w:rPr>
        <w:t>critique</w:t>
      </w:r>
      <w:proofErr w:type="gramEnd"/>
      <w:r>
        <w:rPr>
          <w:rStyle w:val="y0nh2b"/>
        </w:rPr>
        <w:t xml:space="preserve"> établie par J.-F. </w:t>
      </w:r>
      <w:proofErr w:type="spellStart"/>
      <w:r>
        <w:rPr>
          <w:rStyle w:val="y0nh2b"/>
        </w:rPr>
        <w:t>Kervégan</w:t>
      </w:r>
      <w:proofErr w:type="spellEnd"/>
      <w:r>
        <w:rPr>
          <w:rStyle w:val="y0nh2b"/>
        </w:rPr>
        <w:t>), Paris, PUF, 2018.</w:t>
      </w:r>
    </w:p>
  </w:footnote>
  <w:footnote w:id="2">
    <w:p w14:paraId="4205FC06" w14:textId="4F035A3C" w:rsidR="008932FA" w:rsidRPr="002A652D" w:rsidRDefault="008932FA" w:rsidP="00634778">
      <w:pPr>
        <w:pStyle w:val="Notedebasdepage"/>
        <w:spacing w:after="0"/>
      </w:pPr>
      <w:r>
        <w:rPr>
          <w:rStyle w:val="Appelnotedebasdep"/>
        </w:rPr>
        <w:footnoteRef/>
      </w:r>
      <w:r>
        <w:t xml:space="preserve"> </w:t>
      </w:r>
      <w:r>
        <w:br/>
        <w:t>En ce sens, il a pu être écrit à propos du contrat que « la reconnaissance mutuelle des personnes [...]</w:t>
      </w:r>
      <w:r>
        <w:rPr>
          <w:rStyle w:val="Accentuation"/>
        </w:rPr>
        <w:t xml:space="preserve"> </w:t>
      </w:r>
      <w:r>
        <w:t xml:space="preserve">est la présupposition de tout rapport de droit » (J.-F. </w:t>
      </w:r>
      <w:proofErr w:type="spellStart"/>
      <w:r>
        <w:t>Kervégan</w:t>
      </w:r>
      <w:proofErr w:type="spellEnd"/>
      <w:r>
        <w:t>,</w:t>
      </w:r>
      <w:r w:rsidRPr="002A652D">
        <w:t xml:space="preserve"> « La théorie hégélienn</w:t>
      </w:r>
      <w:r>
        <w:t>e du contrat : le juridique, le </w:t>
      </w:r>
      <w:r w:rsidRPr="002A652D">
        <w:t xml:space="preserve">politique, le social », </w:t>
      </w:r>
      <w:r w:rsidRPr="002A652D">
        <w:rPr>
          <w:i/>
        </w:rPr>
        <w:t>Revue germanique internationale</w:t>
      </w:r>
      <w:r>
        <w:t xml:space="preserve">, 2001, n°15, p. </w:t>
      </w:r>
      <w:r w:rsidRPr="00624609">
        <w:t>134</w:t>
      </w:r>
      <w:r>
        <w:t xml:space="preserve">). </w:t>
      </w:r>
    </w:p>
  </w:footnote>
  <w:footnote w:id="3">
    <w:p w14:paraId="3489E019" w14:textId="4A0FBA85" w:rsidR="008932FA" w:rsidRDefault="008932FA" w:rsidP="00634778">
      <w:pPr>
        <w:pStyle w:val="Notedebasdepage"/>
        <w:spacing w:after="0"/>
      </w:pPr>
      <w:r>
        <w:rPr>
          <w:rStyle w:val="Appelnotedebasdep"/>
        </w:rPr>
        <w:footnoteRef/>
      </w:r>
      <w:r>
        <w:t xml:space="preserve"> On notera toutefois en faveur de ce rapprochement une proximité fonctionnelle et essentielle. D’une part, Hegel fait du droit et de ses institutions la colonne vertébrale sur laquelle s’articule l</w:t>
      </w:r>
      <w:proofErr w:type="gramStart"/>
      <w:r>
        <w:t>’«</w:t>
      </w:r>
      <w:proofErr w:type="gramEnd"/>
      <w:r>
        <w:t> </w:t>
      </w:r>
      <w:proofErr w:type="spellStart"/>
      <w:r>
        <w:t>éthicité</w:t>
      </w:r>
      <w:proofErr w:type="spellEnd"/>
      <w:r>
        <w:t xml:space="preserve"> » nécessaire à l’acte de reconnaissance. </w:t>
      </w:r>
      <w:r w:rsidRPr="00E23DEF">
        <w:t>L</w:t>
      </w:r>
      <w:r>
        <w:t>’</w:t>
      </w:r>
      <w:r w:rsidRPr="00E23DEF">
        <w:t xml:space="preserve">Etat est </w:t>
      </w:r>
      <w:r>
        <w:t>en effet le cadre de résolution de contradictions, d</w:t>
      </w:r>
      <w:r w:rsidRPr="00E23DEF">
        <w:t xml:space="preserve">es tensions induites par </w:t>
      </w:r>
      <w:r>
        <w:t>une</w:t>
      </w:r>
      <w:r w:rsidRPr="00E23DEF">
        <w:t xml:space="preserve"> société civile inégalitaire et égoïste</w:t>
      </w:r>
      <w:r>
        <w:t> ; il est une condition de l’universalité. D’autre part, on retrouve dans l’histoire de l</w:t>
      </w:r>
      <w:proofErr w:type="gramStart"/>
      <w:r>
        <w:t>’«</w:t>
      </w:r>
      <w:proofErr w:type="gramEnd"/>
      <w:r>
        <w:t> européanité », ainsi que dans les « valeurs identitaires » du droit européen qui en découlent, les logiques à l’œuvre dans cet acte de reconnaissance : celles de l’universalité et de l’égale dignité (voir en ce sens, A. </w:t>
      </w:r>
      <w:proofErr w:type="spellStart"/>
      <w:r>
        <w:t>Mattera</w:t>
      </w:r>
      <w:proofErr w:type="spellEnd"/>
      <w:r>
        <w:t xml:space="preserve">, « La reconnaissance mutuelle : une valeur historique ancienne, un principe juridique intégrationniste, l’assise politique d’un modèle de société humaniste », </w:t>
      </w:r>
      <w:r w:rsidRPr="008A1C2B">
        <w:rPr>
          <w:i/>
        </w:rPr>
        <w:t>RDUE</w:t>
      </w:r>
      <w:r>
        <w:t>, 2016, n°3-4, p. 458-463).</w:t>
      </w:r>
    </w:p>
  </w:footnote>
  <w:footnote w:id="4">
    <w:p w14:paraId="5CBF2731" w14:textId="67CA0B9D" w:rsidR="008932FA" w:rsidRPr="007B230B" w:rsidRDefault="008932FA" w:rsidP="00634778">
      <w:pPr>
        <w:pStyle w:val="Notedebasdepage"/>
        <w:spacing w:after="0"/>
      </w:pPr>
      <w:r>
        <w:rPr>
          <w:rStyle w:val="Appelnotedebasdep"/>
        </w:rPr>
        <w:footnoteRef/>
      </w:r>
      <w:r>
        <w:t xml:space="preserve"> </w:t>
      </w:r>
      <w:r>
        <w:rPr>
          <w:i/>
        </w:rPr>
        <w:t>Ibid.</w:t>
      </w:r>
      <w:r>
        <w:t>, p. 463-487 : l’auteur souligne le rôle précurseur joué par l’article 3 de la directive 70/50/CEE du 22 décembre 1969, qui tendait déjà à mettre fin à une conception « féodale » du marché intérieur en s’attaquant aux législations indistinctement applicables ayant des effets restrictifs sur le commerce entre Etats membres.</w:t>
      </w:r>
    </w:p>
  </w:footnote>
  <w:footnote w:id="5">
    <w:p w14:paraId="0BB9E70B" w14:textId="6D8C35C9" w:rsidR="008932FA" w:rsidRPr="001645A9" w:rsidRDefault="008932FA" w:rsidP="00634778">
      <w:pPr>
        <w:pStyle w:val="Notedebasdepage"/>
        <w:spacing w:after="0"/>
      </w:pPr>
      <w:r>
        <w:rPr>
          <w:rStyle w:val="Appelnotedebasdep"/>
        </w:rPr>
        <w:footnoteRef/>
      </w:r>
      <w:r>
        <w:t xml:space="preserve"> CJCE, 20 février 1979, </w:t>
      </w:r>
      <w:proofErr w:type="spellStart"/>
      <w:r>
        <w:rPr>
          <w:i/>
        </w:rPr>
        <w:t>Rewe</w:t>
      </w:r>
      <w:proofErr w:type="spellEnd"/>
      <w:r>
        <w:rPr>
          <w:i/>
        </w:rPr>
        <w:t xml:space="preserve"> </w:t>
      </w:r>
      <w:proofErr w:type="spellStart"/>
      <w:r>
        <w:rPr>
          <w:i/>
        </w:rPr>
        <w:t>Zentral</w:t>
      </w:r>
      <w:proofErr w:type="spellEnd"/>
      <w:r>
        <w:rPr>
          <w:i/>
        </w:rPr>
        <w:t xml:space="preserve"> AG</w:t>
      </w:r>
      <w:r>
        <w:t xml:space="preserve">, Aff. 120/78. En réalité, du point de vue de son contenu, ce principe jurisprudentiel peut même être rattaché à un arrêt </w:t>
      </w:r>
      <w:proofErr w:type="spellStart"/>
      <w:r>
        <w:rPr>
          <w:i/>
        </w:rPr>
        <w:t>Bauhuis</w:t>
      </w:r>
      <w:proofErr w:type="spellEnd"/>
      <w:r>
        <w:t xml:space="preserve"> dans lequel la juridiction communautaire met avant « la confiance que doivent se témoigner les Etats membres en ce qui concerne les garanties offertes par les contrôles effectués, au départ, par les services sanitaires de l’Etat membre d’où les animaux sont expédiés » (CJCE, 25 janvier 1977, </w:t>
      </w:r>
      <w:proofErr w:type="spellStart"/>
      <w:r>
        <w:rPr>
          <w:i/>
        </w:rPr>
        <w:t>Bauhuis</w:t>
      </w:r>
      <w:proofErr w:type="spellEnd"/>
      <w:r>
        <w:t>, Aff. 46/76, pt 22). On notera également que si la reconnaissance mutuelle est devenue, sous l’effet de la jurisprudence, un principe essentiel pour le marché intérieur, le Traité de Rome de 1957 en mentionnait déjà des applications particulières à l’égard du droit d’établissement (article 57, §1) et de la libre circulation des sociétés (article 220).</w:t>
      </w:r>
    </w:p>
  </w:footnote>
  <w:footnote w:id="6">
    <w:p w14:paraId="75E13D80" w14:textId="15EB9873" w:rsidR="008932FA" w:rsidRDefault="008932FA" w:rsidP="00634778">
      <w:pPr>
        <w:pStyle w:val="Notedebasdepage"/>
        <w:spacing w:after="0"/>
      </w:pPr>
      <w:r>
        <w:rPr>
          <w:rStyle w:val="Appelnotedebasdep"/>
        </w:rPr>
        <w:footnoteRef/>
      </w:r>
      <w:r>
        <w:t xml:space="preserve"> Communication de la Commission</w:t>
      </w:r>
      <w:r w:rsidRPr="00A83742">
        <w:t xml:space="preserve"> « La reconnaissance mutuelle dans le cadre du suivi du plan d</w:t>
      </w:r>
      <w:r>
        <w:t>’</w:t>
      </w:r>
      <w:r w:rsidRPr="00A83742">
        <w:t>action pour le marché intérieur »</w:t>
      </w:r>
      <w:r>
        <w:t xml:space="preserve"> (COM [1999] 299), qui sera accompagnée d’une résolution du Conseil du 28 octobre 1999</w:t>
      </w:r>
      <w:r w:rsidRPr="00A83742">
        <w:t xml:space="preserve"> </w:t>
      </w:r>
      <w:r>
        <w:t>sur la reconnaissance mutuelle (JO n° C 141 du 19/05/2000 p. 5).</w:t>
      </w:r>
    </w:p>
  </w:footnote>
  <w:footnote w:id="7">
    <w:p w14:paraId="5D0153A8" w14:textId="77777777" w:rsidR="008932FA" w:rsidRDefault="008932FA" w:rsidP="00634778">
      <w:pPr>
        <w:pStyle w:val="Notedebasdepage"/>
        <w:spacing w:after="0"/>
      </w:pPr>
      <w:r>
        <w:rPr>
          <w:rStyle w:val="Appelnotedebasdep"/>
        </w:rPr>
        <w:footnoteRef/>
      </w:r>
      <w:r>
        <w:t xml:space="preserve"> Conclusions du Conseil des 15 et 16 octobre 1999, suivies de la communication de la Commission du 26 juillet 2000 sur la reconnaissance mutuelle des décisions finales en matière pénales (COM [2000] 495).</w:t>
      </w:r>
    </w:p>
  </w:footnote>
  <w:footnote w:id="8">
    <w:p w14:paraId="16F32D20" w14:textId="795A8CDD" w:rsidR="008932FA" w:rsidRDefault="008932FA" w:rsidP="00634778">
      <w:pPr>
        <w:pStyle w:val="Notedebasdepage"/>
        <w:spacing w:after="0"/>
      </w:pPr>
      <w:r>
        <w:rPr>
          <w:rStyle w:val="Appelnotedebasdep"/>
        </w:rPr>
        <w:footnoteRef/>
      </w:r>
      <w:r>
        <w:t xml:space="preserve"> Le principe de reconnaissance mutuelle est ainsi présenté par les </w:t>
      </w:r>
      <w:r w:rsidRPr="006E3442">
        <w:t>institutions comme le fondement de la « nouvelle méthode d’harmonisation » développée dans le cadre du marché intérieur, et comme la « pierre angulaire de la coopération judiciaire » à partir de laquelle se construit des pans essentiels de l’ELSJ.</w:t>
      </w:r>
    </w:p>
  </w:footnote>
  <w:footnote w:id="9">
    <w:p w14:paraId="56BF7188" w14:textId="5BC18564" w:rsidR="008932FA" w:rsidRDefault="008932FA" w:rsidP="00634778">
      <w:pPr>
        <w:pStyle w:val="Notedebasdepage"/>
        <w:spacing w:after="0"/>
      </w:pPr>
      <w:r>
        <w:rPr>
          <w:rStyle w:val="Appelnotedebasdep"/>
        </w:rPr>
        <w:footnoteRef/>
      </w:r>
      <w:r>
        <w:t xml:space="preserve"> </w:t>
      </w:r>
      <w:r w:rsidRPr="00953261">
        <w:rPr>
          <w:spacing w:val="-2"/>
        </w:rPr>
        <w:t>Pour le dire plus clairement, la nature ambivalente découle du fait qu</w:t>
      </w:r>
      <w:r>
        <w:rPr>
          <w:spacing w:val="-2"/>
        </w:rPr>
        <w:t>’</w:t>
      </w:r>
      <w:r w:rsidRPr="00953261">
        <w:rPr>
          <w:spacing w:val="-2"/>
        </w:rPr>
        <w:t>il est un mécanisme d</w:t>
      </w:r>
      <w:r>
        <w:rPr>
          <w:spacing w:val="-2"/>
        </w:rPr>
        <w:t>’</w:t>
      </w:r>
      <w:r w:rsidRPr="00953261">
        <w:rPr>
          <w:spacing w:val="-2"/>
        </w:rPr>
        <w:t>exception lui-même susceptible d</w:t>
      </w:r>
      <w:r>
        <w:rPr>
          <w:spacing w:val="-2"/>
        </w:rPr>
        <w:t>’</w:t>
      </w:r>
      <w:r w:rsidRPr="00953261">
        <w:rPr>
          <w:spacing w:val="-2"/>
        </w:rPr>
        <w:t>exceptions</w:t>
      </w:r>
      <w:r>
        <w:rPr>
          <w:spacing w:val="-2"/>
        </w:rPr>
        <w:t>,</w:t>
      </w:r>
      <w:r w:rsidRPr="00953261">
        <w:rPr>
          <w:spacing w:val="-2"/>
        </w:rPr>
        <w:t xml:space="preserve"> et qu</w:t>
      </w:r>
      <w:r>
        <w:rPr>
          <w:spacing w:val="-2"/>
        </w:rPr>
        <w:t>’</w:t>
      </w:r>
      <w:r w:rsidRPr="00953261">
        <w:rPr>
          <w:spacing w:val="-2"/>
        </w:rPr>
        <w:t>il produit des effets même lorsqu</w:t>
      </w:r>
      <w:r>
        <w:rPr>
          <w:spacing w:val="-2"/>
        </w:rPr>
        <w:t>’</w:t>
      </w:r>
      <w:r w:rsidRPr="00953261">
        <w:rPr>
          <w:spacing w:val="-2"/>
        </w:rPr>
        <w:t>il ne trouve pas directement à s</w:t>
      </w:r>
      <w:r>
        <w:rPr>
          <w:spacing w:val="-2"/>
        </w:rPr>
        <w:t>’</w:t>
      </w:r>
      <w:r w:rsidRPr="00953261">
        <w:rPr>
          <w:spacing w:val="-2"/>
        </w:rPr>
        <w:t>appliquer.</w:t>
      </w:r>
    </w:p>
  </w:footnote>
  <w:footnote w:id="10">
    <w:p w14:paraId="01CC7FC4" w14:textId="5BAA3551" w:rsidR="008932FA" w:rsidRDefault="008932FA" w:rsidP="00634778">
      <w:pPr>
        <w:pStyle w:val="Notedebasdepage"/>
        <w:spacing w:after="0"/>
      </w:pPr>
      <w:r>
        <w:rPr>
          <w:rStyle w:val="Appelnotedebasdep"/>
        </w:rPr>
        <w:footnoteRef/>
      </w:r>
      <w:r>
        <w:t xml:space="preserve"> </w:t>
      </w:r>
      <w:proofErr w:type="spellStart"/>
      <w:r>
        <w:t>J.-Ch</w:t>
      </w:r>
      <w:proofErr w:type="spellEnd"/>
      <w:r>
        <w:t xml:space="preserve">. Le </w:t>
      </w:r>
      <w:proofErr w:type="spellStart"/>
      <w:r>
        <w:t>Coustumer</w:t>
      </w:r>
      <w:proofErr w:type="spellEnd"/>
      <w:r>
        <w:t xml:space="preserve">, « La norme et l’exception. Réflexions sur les rapports du droit avec la réalité », </w:t>
      </w:r>
      <w:r>
        <w:rPr>
          <w:i/>
        </w:rPr>
        <w:t>Cahiers de la recherche sur les droits fondamentaux</w:t>
      </w:r>
      <w:r>
        <w:t>, Presses universitaires de Caen, 2007, n°6, p. 19 :</w:t>
      </w:r>
      <w:r>
        <w:rPr>
          <w:lang w:eastAsia="fr-FR"/>
        </w:rPr>
        <w:t xml:space="preserve"> « </w:t>
      </w:r>
      <w:r w:rsidRPr="005337BC">
        <w:rPr>
          <w:lang w:eastAsia="fr-FR"/>
        </w:rPr>
        <w:t>il y a donc une fondation réciproque des notions de</w:t>
      </w:r>
      <w:r>
        <w:rPr>
          <w:lang w:eastAsia="fr-FR"/>
        </w:rPr>
        <w:t xml:space="preserve"> </w:t>
      </w:r>
      <w:r w:rsidRPr="005337BC">
        <w:rPr>
          <w:lang w:eastAsia="fr-FR"/>
        </w:rPr>
        <w:t>règle et d</w:t>
      </w:r>
      <w:r>
        <w:rPr>
          <w:lang w:eastAsia="fr-FR"/>
        </w:rPr>
        <w:t>’</w:t>
      </w:r>
      <w:r w:rsidRPr="005337BC">
        <w:rPr>
          <w:lang w:eastAsia="fr-FR"/>
        </w:rPr>
        <w:t>exception</w:t>
      </w:r>
      <w:r>
        <w:rPr>
          <w:lang w:eastAsia="fr-FR"/>
        </w:rPr>
        <w:t> »</w:t>
      </w:r>
      <w:r w:rsidRPr="005337BC">
        <w:rPr>
          <w:lang w:eastAsia="fr-FR"/>
        </w:rPr>
        <w:t>.</w:t>
      </w:r>
    </w:p>
  </w:footnote>
  <w:footnote w:id="11">
    <w:p w14:paraId="749C751E" w14:textId="3393D698" w:rsidR="008932FA" w:rsidRDefault="008932FA" w:rsidP="00634778">
      <w:pPr>
        <w:pStyle w:val="Notedebasdepage"/>
        <w:spacing w:after="0"/>
      </w:pPr>
      <w:r>
        <w:rPr>
          <w:rStyle w:val="Appelnotedebasdep"/>
        </w:rPr>
        <w:footnoteRef/>
      </w:r>
      <w:r>
        <w:t xml:space="preserve"> Voir, par exemple, s’agissant des régimes d’exception destinés à faire face aux menaces sécuritaires : </w:t>
      </w:r>
      <w:r>
        <w:rPr>
          <w:rStyle w:val="lev"/>
          <w:rFonts w:eastAsiaTheme="majorEastAsia"/>
          <w:b w:val="0"/>
        </w:rPr>
        <w:t>A. </w:t>
      </w:r>
      <w:proofErr w:type="spellStart"/>
      <w:r w:rsidRPr="00461E05">
        <w:rPr>
          <w:rStyle w:val="familyname"/>
          <w:rFonts w:eastAsiaTheme="majorEastAsia"/>
          <w:bCs/>
        </w:rPr>
        <w:t>Fossier</w:t>
      </w:r>
      <w:proofErr w:type="spellEnd"/>
      <w:r w:rsidRPr="00461E05">
        <w:t>,</w:t>
      </w:r>
      <w:r>
        <w:t xml:space="preserve"> « De l’exception en droit. Entretien avec Mireille Delmas-Marty », </w:t>
      </w:r>
      <w:r>
        <w:rPr>
          <w:rStyle w:val="Accentuation"/>
          <w:rFonts w:eastAsiaTheme="majorEastAsia"/>
        </w:rPr>
        <w:t>Tracés. Revue de Sciences humaines</w:t>
      </w:r>
      <w:r>
        <w:rPr>
          <w:rStyle w:val="Accentuation"/>
          <w:rFonts w:eastAsiaTheme="majorEastAsia"/>
          <w:i w:val="0"/>
        </w:rPr>
        <w:t>,</w:t>
      </w:r>
      <w:r>
        <w:rPr>
          <w:rStyle w:val="Accentuation"/>
          <w:rFonts w:eastAsiaTheme="majorEastAsia"/>
        </w:rPr>
        <w:t xml:space="preserve"> </w:t>
      </w:r>
      <w:r>
        <w:t xml:space="preserve">2011, n°20 (disponible en ligne : </w:t>
      </w:r>
      <w:r w:rsidRPr="006A4FC0">
        <w:t>http://journals.openedition.org/traces/5088</w:t>
      </w:r>
      <w:r>
        <w:t>).</w:t>
      </w:r>
    </w:p>
  </w:footnote>
  <w:footnote w:id="12">
    <w:p w14:paraId="0DB57366" w14:textId="0E621AD9" w:rsidR="008932FA" w:rsidRDefault="008932FA" w:rsidP="00634778">
      <w:pPr>
        <w:pStyle w:val="Notedebasdepage"/>
        <w:spacing w:after="0"/>
      </w:pPr>
      <w:r>
        <w:rPr>
          <w:rStyle w:val="Appelnotedebasdep"/>
        </w:rPr>
        <w:footnoteRef/>
      </w:r>
      <w:r>
        <w:t xml:space="preserve"> Dans un</w:t>
      </w:r>
      <w:r w:rsidRPr="00A01FB0">
        <w:t xml:space="preserve"> sens procédural,</w:t>
      </w:r>
      <w:r>
        <w:t xml:space="preserve"> </w:t>
      </w:r>
      <w:r>
        <w:rPr>
          <w:i/>
        </w:rPr>
        <w:t>a priori</w:t>
      </w:r>
      <w:r>
        <w:t xml:space="preserve"> moins pertinent pour l’interrogation poursuivie,</w:t>
      </w:r>
      <w:r w:rsidRPr="00A01FB0">
        <w:t xml:space="preserve"> l</w:t>
      </w:r>
      <w:r>
        <w:t>’</w:t>
      </w:r>
      <w:r w:rsidRPr="00A01FB0">
        <w:t>ex</w:t>
      </w:r>
      <w:r>
        <w:t>ception est un moyen de défense</w:t>
      </w:r>
      <w:r w:rsidRPr="00A01FB0">
        <w:t xml:space="preserve"> permettant à l</w:t>
      </w:r>
      <w:r>
        <w:t>’</w:t>
      </w:r>
      <w:r w:rsidRPr="00A01FB0">
        <w:t>une des parties de s</w:t>
      </w:r>
      <w:r>
        <w:t>’</w:t>
      </w:r>
      <w:r w:rsidRPr="00A01FB0">
        <w:t>opposer aux prétentions de son adversaire</w:t>
      </w:r>
      <w:r>
        <w:t>,</w:t>
      </w:r>
      <w:r w:rsidRPr="00A01FB0">
        <w:t xml:space="preserve"> soit à titre liminaire et sans entrer dans le débat au fond, soit au contraire en excipant de l</w:t>
      </w:r>
      <w:r>
        <w:t>’</w:t>
      </w:r>
      <w:r w:rsidRPr="00A01FB0">
        <w:t>illégalité, de l</w:t>
      </w:r>
      <w:r>
        <w:t>’</w:t>
      </w:r>
      <w:proofErr w:type="spellStart"/>
      <w:r>
        <w:t>in</w:t>
      </w:r>
      <w:r w:rsidRPr="00A01FB0">
        <w:t>conventionalité</w:t>
      </w:r>
      <w:proofErr w:type="spellEnd"/>
      <w:r>
        <w:t>,</w:t>
      </w:r>
      <w:r w:rsidRPr="00A01FB0">
        <w:t xml:space="preserve"> ou de l</w:t>
      </w:r>
      <w:r>
        <w:t>’</w:t>
      </w:r>
      <w:r w:rsidRPr="00A01FB0">
        <w:t>inconstitutionnalité du fondement normatif de l</w:t>
      </w:r>
      <w:r>
        <w:t>’</w:t>
      </w:r>
      <w:r w:rsidRPr="00A01FB0">
        <w:t>action judiciaire.</w:t>
      </w:r>
    </w:p>
  </w:footnote>
  <w:footnote w:id="13">
    <w:p w14:paraId="2C38FC48" w14:textId="67291E47" w:rsidR="008932FA" w:rsidRDefault="008932FA" w:rsidP="00634778">
      <w:pPr>
        <w:pStyle w:val="Notedebasdepage"/>
        <w:spacing w:after="0"/>
      </w:pPr>
      <w:r>
        <w:rPr>
          <w:rStyle w:val="Appelnotedebasdep"/>
        </w:rPr>
        <w:footnoteRef/>
      </w:r>
      <w:r>
        <w:t xml:space="preserve"> Il n’est pas anodin d’observer que la reconnaissance hégélienne repose sur une tension entre deux aspirations : l’égalité et l’individualité. Se reconnaître en l’autre, mais se reconnaître aussi soi-même comme un, c’est là une dialectique qui semble se retrouver au cœur du principe juridique de la reconnaissance mutuelle, dont le caractère relatif interroge l’identité des solutions juridiques en interaction.</w:t>
      </w:r>
    </w:p>
  </w:footnote>
  <w:footnote w:id="14">
    <w:p w14:paraId="2942110F" w14:textId="5F448B6A" w:rsidR="008932FA" w:rsidRPr="003B5BAF" w:rsidRDefault="008932FA" w:rsidP="00634778">
      <w:pPr>
        <w:pStyle w:val="Notedebasdepage"/>
        <w:spacing w:after="0"/>
      </w:pPr>
      <w:r>
        <w:rPr>
          <w:rStyle w:val="Appelnotedebasdep"/>
        </w:rPr>
        <w:footnoteRef/>
      </w:r>
      <w:r>
        <w:t xml:space="preserve"> Sous une définition plus stricte, Christine Guillard retient que </w:t>
      </w:r>
      <w:r w:rsidRPr="00F77A99">
        <w:t>l</w:t>
      </w:r>
      <w:proofErr w:type="gramStart"/>
      <w:r>
        <w:t>’</w:t>
      </w:r>
      <w:r w:rsidRPr="00F77A99">
        <w:t>«</w:t>
      </w:r>
      <w:proofErr w:type="gramEnd"/>
      <w:r w:rsidRPr="00F77A99">
        <w:t> intégration différenciée désigne seulement les hypothèses où le droit de l</w:t>
      </w:r>
      <w:r>
        <w:t>’</w:t>
      </w:r>
      <w:r w:rsidRPr="00F77A99">
        <w:t>Union [...] prévoit que tous les Etats membres ne sont pas ou peuvent ne pas être régis par les mêmes règles ». Elle ajoute en conséquence que pour entrer dans cette définition, « la différenciation doit d</w:t>
      </w:r>
      <w:r>
        <w:t>’</w:t>
      </w:r>
      <w:r w:rsidRPr="00F77A99">
        <w:t>une part s</w:t>
      </w:r>
      <w:r>
        <w:t>’</w:t>
      </w:r>
      <w:r w:rsidRPr="00F77A99">
        <w:t>inscrire dans le champ d</w:t>
      </w:r>
      <w:r>
        <w:t>’</w:t>
      </w:r>
      <w:r w:rsidRPr="00F77A99">
        <w:t>action potentiel de l</w:t>
      </w:r>
      <w:r>
        <w:t>’</w:t>
      </w:r>
      <w:r w:rsidRPr="00F77A99">
        <w:t>Union et d</w:t>
      </w:r>
      <w:r>
        <w:t>’</w:t>
      </w:r>
      <w:r w:rsidRPr="00F77A99">
        <w:t>autre part résulter des textes communautaires (au sens large) et non de leur application »</w:t>
      </w:r>
      <w:r>
        <w:t xml:space="preserve"> (</w:t>
      </w:r>
      <w:r>
        <w:rPr>
          <w:i/>
        </w:rPr>
        <w:t>L’intégration différenciée dans l’Union européenne</w:t>
      </w:r>
      <w:r>
        <w:t>, Bruxelles, Bruylant, 2006, p. 3)</w:t>
      </w:r>
      <w:r w:rsidRPr="00F77A99">
        <w:t xml:space="preserve">. </w:t>
      </w:r>
      <w:r>
        <w:t>Cette approche sera écartée pour s’intéresser au contraire, dans la perspective de l’existence d’un espace juridique commun, aux effets d’une logique (</w:t>
      </w:r>
      <w:r w:rsidRPr="00F022D4">
        <w:t>plurielle</w:t>
      </w:r>
      <w:r>
        <w:t xml:space="preserve"> et pluraliste) d’exception au sein de la reconnaissance mutuelle. </w:t>
      </w:r>
    </w:p>
  </w:footnote>
  <w:footnote w:id="15">
    <w:p w14:paraId="669536ED" w14:textId="4DB1FBE9" w:rsidR="008932FA" w:rsidRDefault="008932FA" w:rsidP="00634778">
      <w:pPr>
        <w:pStyle w:val="Notedebasdepage"/>
        <w:spacing w:after="0"/>
      </w:pPr>
      <w:r>
        <w:rPr>
          <w:rStyle w:val="Appelnotedebasdep"/>
        </w:rPr>
        <w:footnoteRef/>
      </w:r>
      <w:r>
        <w:t xml:space="preserve"> O. Clerc, </w:t>
      </w:r>
      <w:r w:rsidRPr="0071697B">
        <w:rPr>
          <w:i/>
        </w:rPr>
        <w:t>La gouvernance économique de l</w:t>
      </w:r>
      <w:r>
        <w:rPr>
          <w:i/>
        </w:rPr>
        <w:t>’</w:t>
      </w:r>
      <w:r w:rsidRPr="0071697B">
        <w:rPr>
          <w:i/>
        </w:rPr>
        <w:t>Union européenne après établissement de la zone euro</w:t>
      </w:r>
      <w:r>
        <w:t>, Bruxelles, Bruylant, 2012, p. 10 :</w:t>
      </w:r>
      <w:r w:rsidRPr="0071697B">
        <w:t xml:space="preserve"> </w:t>
      </w:r>
      <w:r w:rsidRPr="002A00E3">
        <w:t>« l</w:t>
      </w:r>
      <w:r>
        <w:t>’</w:t>
      </w:r>
      <w:r w:rsidRPr="002A00E3">
        <w:t>intégration différenciée de l</w:t>
      </w:r>
      <w:r>
        <w:t>’</w:t>
      </w:r>
      <w:r w:rsidRPr="002A00E3">
        <w:t>Union européenne apparaît, même si elle contient des risques pour l</w:t>
      </w:r>
      <w:r>
        <w:t>’</w:t>
      </w:r>
      <w:r w:rsidRPr="002A00E3">
        <w:t>unité européenne, comme une technique d</w:t>
      </w:r>
      <w:r>
        <w:t>’</w:t>
      </w:r>
      <w:r w:rsidRPr="002A00E3">
        <w:t>intégration nécessaire à la réalisation des objectifs de l</w:t>
      </w:r>
      <w:r>
        <w:t>’</w:t>
      </w:r>
      <w:r w:rsidRPr="002A00E3">
        <w:t>Union au regard de son hétérogénéité toujours croissante ». On peut dire en ce sens que les progrès du principe de reconnaissance mutuelle « marque[nt] le passage vers une conception dans laquelle la différenciation devient aussi un instrument de l</w:t>
      </w:r>
      <w:r>
        <w:t>’</w:t>
      </w:r>
      <w:r w:rsidRPr="002A00E3">
        <w:t>approfondissement de l</w:t>
      </w:r>
      <w:r>
        <w:t>’</w:t>
      </w:r>
      <w:r w:rsidRPr="002A00E3">
        <w:t>intégration européenne »</w:t>
      </w:r>
      <w:r>
        <w:t xml:space="preserve"> (L. </w:t>
      </w:r>
      <w:proofErr w:type="spellStart"/>
      <w:r>
        <w:t>Crivat</w:t>
      </w:r>
      <w:proofErr w:type="spellEnd"/>
      <w:r>
        <w:t xml:space="preserve">, « Mythes et réalités de l’intégration différenciée dans l’Union européenne », </w:t>
      </w:r>
      <w:proofErr w:type="spellStart"/>
      <w:r w:rsidRPr="0071697B">
        <w:rPr>
          <w:i/>
        </w:rPr>
        <w:t>Europya</w:t>
      </w:r>
      <w:proofErr w:type="spellEnd"/>
      <w:r>
        <w:t>, 1997, p. 2).</w:t>
      </w:r>
    </w:p>
  </w:footnote>
  <w:footnote w:id="16">
    <w:p w14:paraId="7992C92A" w14:textId="659C0C3A" w:rsidR="008932FA" w:rsidRPr="00E466D4" w:rsidRDefault="008932FA" w:rsidP="00634778">
      <w:pPr>
        <w:pStyle w:val="Notedebasdepage"/>
        <w:spacing w:after="0"/>
      </w:pPr>
      <w:r>
        <w:rPr>
          <w:rStyle w:val="Appelnotedebasdep"/>
        </w:rPr>
        <w:footnoteRef/>
      </w:r>
      <w:r>
        <w:t xml:space="preserve"> Voir pour une approche </w:t>
      </w:r>
      <w:proofErr w:type="spellStart"/>
      <w:r>
        <w:t>multiscalaire</w:t>
      </w:r>
      <w:proofErr w:type="spellEnd"/>
      <w:r>
        <w:t xml:space="preserve"> du droit de l’Union : O. Dubos, « Le droit </w:t>
      </w:r>
      <w:proofErr w:type="spellStart"/>
      <w:r>
        <w:t>multiscalaire</w:t>
      </w:r>
      <w:proofErr w:type="spellEnd"/>
      <w:r>
        <w:t xml:space="preserve"> : la fin de la hiérarchie ? », intervention lors du colloque de l’Université de Bordeaux « Le droit constitutionnel et la géographie », des 10 et 11 décembre 2015 (captation disponible en ligne : </w:t>
      </w:r>
      <w:r w:rsidRPr="0090473B">
        <w:t>https://www.youtube.com/</w:t>
      </w:r>
      <w:r>
        <w:br/>
      </w:r>
      <w:proofErr w:type="spellStart"/>
      <w:r w:rsidRPr="0090473B">
        <w:t>watch?v</w:t>
      </w:r>
      <w:proofErr w:type="spellEnd"/>
      <w:r w:rsidRPr="0090473B">
        <w:t>=9M_MOe6OVTA</w:t>
      </w:r>
      <w:r>
        <w:t>) ; et pour une étude de la mondialisation sous l’angle de la « </w:t>
      </w:r>
      <w:proofErr w:type="spellStart"/>
      <w:r>
        <w:t>multiscalarité</w:t>
      </w:r>
      <w:proofErr w:type="spellEnd"/>
      <w:r>
        <w:t xml:space="preserve"> » du droit : G. </w:t>
      </w:r>
      <w:proofErr w:type="spellStart"/>
      <w:r>
        <w:t>Rabu</w:t>
      </w:r>
      <w:proofErr w:type="spellEnd"/>
      <w:r>
        <w:t xml:space="preserve">, « La mondialisation et le droit : éléments </w:t>
      </w:r>
      <w:proofErr w:type="spellStart"/>
      <w:r>
        <w:t>macrojuridiques</w:t>
      </w:r>
      <w:proofErr w:type="spellEnd"/>
      <w:r>
        <w:t xml:space="preserve"> de convergence des régimes juridiques », </w:t>
      </w:r>
      <w:r>
        <w:rPr>
          <w:i/>
        </w:rPr>
        <w:t>Revue internationale de droit économique</w:t>
      </w:r>
      <w:r>
        <w:t>, 2008, n°3, p. 335-356.</w:t>
      </w:r>
    </w:p>
  </w:footnote>
  <w:footnote w:id="17">
    <w:p w14:paraId="61EF2AA3" w14:textId="1A8EC8E1" w:rsidR="008932FA" w:rsidRDefault="008932FA" w:rsidP="00634778">
      <w:pPr>
        <w:pStyle w:val="Notedebasdepage"/>
        <w:spacing w:after="0"/>
      </w:pPr>
      <w:r>
        <w:rPr>
          <w:rStyle w:val="Appelnotedebasdep"/>
        </w:rPr>
        <w:footnoteRef/>
      </w:r>
      <w:r>
        <w:t xml:space="preserve"> Y. Lacoste, </w:t>
      </w:r>
      <w:r>
        <w:rPr>
          <w:i/>
        </w:rPr>
        <w:t>La géographie, ça sert, d’abord, à faire la guerre</w:t>
      </w:r>
      <w:r>
        <w:t xml:space="preserve">, Paris, </w:t>
      </w:r>
      <w:proofErr w:type="spellStart"/>
      <w:r>
        <w:t>Maspéro</w:t>
      </w:r>
      <w:proofErr w:type="spellEnd"/>
      <w:r>
        <w:t>, 1976, p. 68.</w:t>
      </w:r>
    </w:p>
  </w:footnote>
  <w:footnote w:id="18">
    <w:p w14:paraId="2E677D15" w14:textId="3C07D349" w:rsidR="008932FA" w:rsidRPr="007210E3" w:rsidRDefault="008932FA" w:rsidP="00634778">
      <w:pPr>
        <w:pStyle w:val="Notedebasdepage"/>
        <w:spacing w:after="0"/>
        <w:rPr>
          <w:lang w:val="en-US"/>
        </w:rPr>
      </w:pPr>
      <w:r>
        <w:rPr>
          <w:rStyle w:val="Appelnotedebasdep"/>
        </w:rPr>
        <w:footnoteRef/>
      </w:r>
      <w:r w:rsidRPr="00581655">
        <w:rPr>
          <w:lang w:val="en-US"/>
        </w:rPr>
        <w:t xml:space="preserve"> </w:t>
      </w:r>
      <w:proofErr w:type="gramStart"/>
      <w:r w:rsidRPr="00581655">
        <w:rPr>
          <w:lang w:val="en-US"/>
        </w:rPr>
        <w:t xml:space="preserve">V. </w:t>
      </w:r>
      <w:proofErr w:type="spellStart"/>
      <w:r w:rsidRPr="00581655">
        <w:rPr>
          <w:lang w:val="en-US"/>
        </w:rPr>
        <w:t>Mitsilegas</w:t>
      </w:r>
      <w:proofErr w:type="spellEnd"/>
      <w:r w:rsidRPr="00581655">
        <w:rPr>
          <w:lang w:val="en-US"/>
        </w:rPr>
        <w:t xml:space="preserve">, </w:t>
      </w:r>
      <w:r w:rsidRPr="007D346F">
        <w:rPr>
          <w:i/>
          <w:lang w:val="en-US"/>
        </w:rPr>
        <w:t>op.</w:t>
      </w:r>
      <w:r w:rsidRPr="00581655">
        <w:rPr>
          <w:i/>
          <w:lang w:val="en-US"/>
        </w:rPr>
        <w:t xml:space="preserve"> cit.</w:t>
      </w:r>
      <w:r>
        <w:rPr>
          <w:lang w:val="en-US"/>
        </w:rPr>
        <w:t xml:space="preserve">, p. 321 </w:t>
      </w:r>
      <w:r w:rsidRPr="0009745C">
        <w:rPr>
          <w:lang w:val="en-US"/>
        </w:rPr>
        <w:t>: « Automaticity in inter-state cooperation means that a national decision will be enforced beyond the territory of the issuing Member State by authorities in other EU Member States across the Area of Freedom, Security and Justice without many questions being asked and with the requested authority having at its disposal extremely limited</w:t>
      </w:r>
      <w:r>
        <w:rPr>
          <w:lang w:val="en-US"/>
        </w:rPr>
        <w:t xml:space="preserve"> – </w:t>
      </w:r>
      <w:r w:rsidRPr="0009745C">
        <w:rPr>
          <w:lang w:val="en-US"/>
        </w:rPr>
        <w:t>if any at all</w:t>
      </w:r>
      <w:r>
        <w:rPr>
          <w:lang w:val="en-US"/>
        </w:rPr>
        <w:t xml:space="preserve"> – </w:t>
      </w:r>
      <w:r w:rsidRPr="0009745C">
        <w:rPr>
          <w:lang w:val="en-US"/>
        </w:rPr>
        <w:t>grounds to refuse the request for cooperation</w:t>
      </w:r>
      <w:r w:rsidRPr="007210E3">
        <w:rPr>
          <w:lang w:val="en-US"/>
        </w:rPr>
        <w:t> ».</w:t>
      </w:r>
      <w:proofErr w:type="gramEnd"/>
    </w:p>
  </w:footnote>
  <w:footnote w:id="19">
    <w:p w14:paraId="665725E2" w14:textId="7E5D3FC7" w:rsidR="008932FA" w:rsidRPr="00AB5E4B" w:rsidRDefault="008932FA" w:rsidP="00634778">
      <w:pPr>
        <w:pStyle w:val="Notedebasdepage"/>
        <w:spacing w:after="0"/>
        <w:rPr>
          <w:lang w:val="en-US"/>
        </w:rPr>
      </w:pPr>
      <w:r>
        <w:rPr>
          <w:rStyle w:val="Appelnotedebasdep"/>
        </w:rPr>
        <w:footnoteRef/>
      </w:r>
      <w:r w:rsidRPr="00AB5E4B">
        <w:rPr>
          <w:lang w:val="en-US"/>
        </w:rPr>
        <w:t xml:space="preserve"> K. </w:t>
      </w:r>
      <w:proofErr w:type="spellStart"/>
      <w:r w:rsidRPr="00AB5E4B">
        <w:rPr>
          <w:lang w:val="en-US"/>
        </w:rPr>
        <w:t>Nicolaidis</w:t>
      </w:r>
      <w:proofErr w:type="spellEnd"/>
      <w:r w:rsidRPr="00AB5E4B">
        <w:rPr>
          <w:lang w:val="en-US"/>
        </w:rPr>
        <w:t xml:space="preserve">, « Trusting the Poles? Constructing Europe through Mutual Recognition » in </w:t>
      </w:r>
      <w:r w:rsidRPr="00AB5E4B">
        <w:rPr>
          <w:i/>
          <w:lang w:val="en-US"/>
        </w:rPr>
        <w:t>Journal of European Public Policy</w:t>
      </w:r>
      <w:r w:rsidRPr="00AB5E4B">
        <w:rPr>
          <w:lang w:val="en-US"/>
        </w:rPr>
        <w:t xml:space="preserve">, 2007, n° 14, p. 685 : </w:t>
      </w:r>
      <w:r w:rsidRPr="007340ED">
        <w:rPr>
          <w:spacing w:val="-2"/>
          <w:lang w:val="en-US"/>
        </w:rPr>
        <w:t>« As a horizontal transfer of sovereignty, [mutual recognition] is both about respecting sovereignty and radically reconfiguring it – by delinking the exercise of sovereign power from its territorial anchor through a reciprocal allocation of jurisdictional authority to prescribe and enforce laws ».</w:t>
      </w:r>
    </w:p>
  </w:footnote>
  <w:footnote w:id="20">
    <w:p w14:paraId="17BDAF19" w14:textId="5E3A4CC0" w:rsidR="008932FA" w:rsidRPr="00A87BD3" w:rsidRDefault="008932FA" w:rsidP="00634778">
      <w:pPr>
        <w:pStyle w:val="Notedebasdepage"/>
        <w:spacing w:after="0"/>
      </w:pPr>
      <w:r>
        <w:rPr>
          <w:rStyle w:val="Appelnotedebasdep"/>
        </w:rPr>
        <w:footnoteRef/>
      </w:r>
      <w:r>
        <w:t xml:space="preserve"> Voir en ce sens : L. Lebon, </w:t>
      </w:r>
      <w:r>
        <w:rPr>
          <w:i/>
        </w:rPr>
        <w:t>La territorialité et l’Union européenne. Approches de droit public</w:t>
      </w:r>
      <w:r>
        <w:t>, Bruxelles, Bruylant, 2015, p. 423, T. Paris, « La reconnaissance des actes administratifs étrangers au droit français », in J. </w:t>
      </w:r>
      <w:proofErr w:type="spellStart"/>
      <w:r w:rsidRPr="00342979">
        <w:t>Rodríguez-Arana</w:t>
      </w:r>
      <w:proofErr w:type="spellEnd"/>
      <w:r w:rsidRPr="00342979">
        <w:t xml:space="preserve"> </w:t>
      </w:r>
      <w:proofErr w:type="spellStart"/>
      <w:r w:rsidRPr="00342979">
        <w:t>Muñoz</w:t>
      </w:r>
      <w:proofErr w:type="spellEnd"/>
      <w:r w:rsidRPr="00342979">
        <w:t xml:space="preserve"> </w:t>
      </w:r>
      <w:r>
        <w:t xml:space="preserve">(dir.), </w:t>
      </w:r>
      <w:r>
        <w:rPr>
          <w:i/>
        </w:rPr>
        <w:t xml:space="preserve">Recognition of </w:t>
      </w:r>
      <w:proofErr w:type="spellStart"/>
      <w:r>
        <w:rPr>
          <w:i/>
        </w:rPr>
        <w:t>Foreign</w:t>
      </w:r>
      <w:proofErr w:type="spellEnd"/>
      <w:r>
        <w:rPr>
          <w:i/>
        </w:rPr>
        <w:t xml:space="preserve"> Administrative </w:t>
      </w:r>
      <w:proofErr w:type="spellStart"/>
      <w:r>
        <w:rPr>
          <w:i/>
        </w:rPr>
        <w:t>Acts</w:t>
      </w:r>
      <w:proofErr w:type="spellEnd"/>
      <w:r>
        <w:t>, Springer, 2016, spé. p. 132.</w:t>
      </w:r>
    </w:p>
  </w:footnote>
  <w:footnote w:id="21">
    <w:p w14:paraId="38552E1D" w14:textId="61D1D51C" w:rsidR="008932FA" w:rsidRDefault="008932FA" w:rsidP="00634778">
      <w:pPr>
        <w:pStyle w:val="Notedebasdepage"/>
        <w:spacing w:after="0"/>
      </w:pPr>
      <w:r>
        <w:rPr>
          <w:rStyle w:val="Appelnotedebasdep"/>
        </w:rPr>
        <w:footnoteRef/>
      </w:r>
      <w:r>
        <w:t xml:space="preserve"> Ainsi, dans le champ de l’extradition, «</w:t>
      </w:r>
      <w:r w:rsidRPr="00A20BCC">
        <w:t xml:space="preserve"> les Etats membres ont renoncé à leur pouvoir souverain de soustraire leurs propres ressortissants aux investigations et aux sanctions des autorités judiciaires des autres États membres » </w:t>
      </w:r>
      <w:r>
        <w:t xml:space="preserve">(Y. Bot, conclusions sous CJUE, 6 octobre 2009, </w:t>
      </w:r>
      <w:proofErr w:type="spellStart"/>
      <w:r>
        <w:rPr>
          <w:i/>
        </w:rPr>
        <w:t>Wolzenburg</w:t>
      </w:r>
      <w:proofErr w:type="spellEnd"/>
      <w:r>
        <w:t>, Aff. C-123/08, pt. 132).</w:t>
      </w:r>
    </w:p>
  </w:footnote>
  <w:footnote w:id="22">
    <w:p w14:paraId="3BF4C8BC" w14:textId="77777777" w:rsidR="008932FA" w:rsidRDefault="008932FA" w:rsidP="00634778">
      <w:pPr>
        <w:pStyle w:val="Notedebasdepage"/>
        <w:spacing w:after="0"/>
      </w:pPr>
      <w:r>
        <w:rPr>
          <w:rStyle w:val="Appelnotedebasdep"/>
        </w:rPr>
        <w:footnoteRef/>
      </w:r>
      <w:r>
        <w:t xml:space="preserve"> Communication </w:t>
      </w:r>
      <w:proofErr w:type="spellStart"/>
      <w:r>
        <w:t>préc</w:t>
      </w:r>
      <w:proofErr w:type="spellEnd"/>
      <w:r>
        <w:t>. COM [1999] 299, p. 2.</w:t>
      </w:r>
    </w:p>
  </w:footnote>
  <w:footnote w:id="23">
    <w:p w14:paraId="6E2ADCDC" w14:textId="1EF030C2" w:rsidR="008932FA" w:rsidRDefault="008932FA" w:rsidP="00634778">
      <w:pPr>
        <w:pStyle w:val="Notedebasdepage"/>
        <w:spacing w:after="0"/>
      </w:pPr>
      <w:r>
        <w:rPr>
          <w:rStyle w:val="Appelnotedebasdep"/>
        </w:rPr>
        <w:footnoteRef/>
      </w:r>
      <w:r>
        <w:t xml:space="preserve"> Selon la Commission, en matière de services, « un opérateur économique prestant un service de manière légale </w:t>
      </w:r>
      <w:r w:rsidRPr="005775D7">
        <w:rPr>
          <w:spacing w:val="-2"/>
        </w:rPr>
        <w:t>dans un Etat membre doit pouvoir librement prester le même service dans les autres Etats membres », sauf à ce que soient en cause des raisons impérieuses d’intérêt général (comme la protection des consommateurs par exemple).</w:t>
      </w:r>
    </w:p>
  </w:footnote>
  <w:footnote w:id="24">
    <w:p w14:paraId="21A6A2E2" w14:textId="77777777" w:rsidR="008932FA" w:rsidRPr="00AB6616" w:rsidRDefault="008932FA" w:rsidP="00634778">
      <w:pPr>
        <w:pStyle w:val="Notedebasdepage"/>
        <w:spacing w:after="0"/>
      </w:pPr>
      <w:r>
        <w:rPr>
          <w:rStyle w:val="Appelnotedebasdep"/>
        </w:rPr>
        <w:footnoteRef/>
      </w:r>
      <w:r>
        <w:t xml:space="preserve"> CJUE, 25 octobre 2017, </w:t>
      </w:r>
      <w:proofErr w:type="spellStart"/>
      <w:r w:rsidRPr="00AB6616">
        <w:rPr>
          <w:i/>
        </w:rPr>
        <w:t>Polbud</w:t>
      </w:r>
      <w:proofErr w:type="spellEnd"/>
      <w:r w:rsidRPr="00AB6616">
        <w:rPr>
          <w:i/>
        </w:rPr>
        <w:t xml:space="preserve"> – </w:t>
      </w:r>
      <w:proofErr w:type="spellStart"/>
      <w:r w:rsidRPr="00AB6616">
        <w:rPr>
          <w:i/>
        </w:rPr>
        <w:t>Wykonawstwo</w:t>
      </w:r>
      <w:proofErr w:type="spellEnd"/>
      <w:r w:rsidRPr="00AB6616">
        <w:rPr>
          <w:i/>
        </w:rPr>
        <w:t xml:space="preserve"> </w:t>
      </w:r>
      <w:proofErr w:type="spellStart"/>
      <w:r w:rsidRPr="00AB6616">
        <w:rPr>
          <w:i/>
        </w:rPr>
        <w:t>sp</w:t>
      </w:r>
      <w:proofErr w:type="spellEnd"/>
      <w:r w:rsidRPr="00AB6616">
        <w:rPr>
          <w:i/>
        </w:rPr>
        <w:t xml:space="preserve">. </w:t>
      </w:r>
      <w:proofErr w:type="gramStart"/>
      <w:r w:rsidRPr="00AB6616">
        <w:rPr>
          <w:i/>
        </w:rPr>
        <w:t>z</w:t>
      </w:r>
      <w:proofErr w:type="gramEnd"/>
      <w:r w:rsidRPr="00AB6616">
        <w:rPr>
          <w:i/>
        </w:rPr>
        <w:t xml:space="preserve"> </w:t>
      </w:r>
      <w:proofErr w:type="spellStart"/>
      <w:r w:rsidRPr="00AB6616">
        <w:rPr>
          <w:i/>
        </w:rPr>
        <w:t>o.o</w:t>
      </w:r>
      <w:proofErr w:type="spellEnd"/>
      <w:r w:rsidRPr="00AB6616">
        <w:rPr>
          <w:i/>
        </w:rPr>
        <w:t>.</w:t>
      </w:r>
      <w:r>
        <w:t>, Aff. C-106/16.</w:t>
      </w:r>
    </w:p>
  </w:footnote>
  <w:footnote w:id="25">
    <w:p w14:paraId="7C4F9588" w14:textId="1E1CBB39" w:rsidR="008932FA" w:rsidRPr="00936FD6" w:rsidRDefault="008932FA" w:rsidP="00634778">
      <w:pPr>
        <w:pStyle w:val="Notedebasdepage"/>
        <w:spacing w:after="0"/>
      </w:pPr>
      <w:r>
        <w:rPr>
          <w:rStyle w:val="Appelnotedebasdep"/>
        </w:rPr>
        <w:footnoteRef/>
      </w:r>
      <w:r>
        <w:t xml:space="preserve"> M.</w:t>
      </w:r>
      <w:r w:rsidRPr="00936FD6">
        <w:t xml:space="preserve"> A</w:t>
      </w:r>
      <w:r>
        <w:t>.</w:t>
      </w:r>
      <w:r w:rsidRPr="00936FD6">
        <w:t xml:space="preserve"> </w:t>
      </w:r>
      <w:proofErr w:type="spellStart"/>
      <w:r w:rsidRPr="00CB5811">
        <w:t>Cebrián</w:t>
      </w:r>
      <w:proofErr w:type="spellEnd"/>
      <w:r w:rsidRPr="00CB5811">
        <w:t xml:space="preserve"> </w:t>
      </w:r>
      <w:proofErr w:type="spellStart"/>
      <w:r w:rsidRPr="00CB5811">
        <w:t>Salva</w:t>
      </w:r>
      <w:proofErr w:type="spellEnd"/>
      <w:r w:rsidRPr="00CB5811">
        <w:t>, « Liberté et pain cuit », commentaire de l</w:t>
      </w:r>
      <w:r>
        <w:t>’</w:t>
      </w:r>
      <w:r w:rsidRPr="00CB5811">
        <w:t xml:space="preserve">arrêt </w:t>
      </w:r>
      <w:proofErr w:type="spellStart"/>
      <w:r w:rsidRPr="00CB5811">
        <w:rPr>
          <w:i/>
        </w:rPr>
        <w:t>Polbud</w:t>
      </w:r>
      <w:proofErr w:type="spellEnd"/>
      <w:r w:rsidRPr="00CB5811">
        <w:t xml:space="preserve"> </w:t>
      </w:r>
      <w:r>
        <w:t>(</w:t>
      </w:r>
      <w:r w:rsidRPr="00CB5811">
        <w:t>disponible en ligne : https://blogdroiteuropeen.com</w:t>
      </w:r>
      <w:r>
        <w:t>)</w:t>
      </w:r>
      <w:r w:rsidRPr="00CB5811">
        <w:t>.</w:t>
      </w:r>
    </w:p>
  </w:footnote>
  <w:footnote w:id="26">
    <w:p w14:paraId="4DE55F66" w14:textId="3D697386" w:rsidR="008932FA" w:rsidRDefault="008932FA" w:rsidP="00634778">
      <w:pPr>
        <w:pStyle w:val="Notedebasdepage"/>
        <w:spacing w:after="0"/>
      </w:pPr>
      <w:r>
        <w:rPr>
          <w:rStyle w:val="Appelnotedebasdep"/>
        </w:rPr>
        <w:footnoteRef/>
      </w:r>
      <w:r>
        <w:t xml:space="preserve"> En ce sens, dans le marché intérieur, se développerait une </w:t>
      </w:r>
      <w:r w:rsidRPr="003B09A5">
        <w:t xml:space="preserve">méthode conflictuelle </w:t>
      </w:r>
      <w:r w:rsidRPr="003B09A5">
        <w:rPr>
          <w:i/>
          <w:iCs/>
        </w:rPr>
        <w:t xml:space="preserve">lato sensu </w:t>
      </w:r>
      <w:r w:rsidRPr="003B09A5">
        <w:t>de résolution des questions de concur</w:t>
      </w:r>
      <w:r>
        <w:t>rence entre les droits internes : M. Ho</w:t>
      </w:r>
      <w:r w:rsidRPr="003B09A5">
        <w:t>-D</w:t>
      </w:r>
      <w:r>
        <w:t>ac</w:t>
      </w:r>
      <w:r w:rsidRPr="003B09A5">
        <w:t xml:space="preserve">, </w:t>
      </w:r>
      <w:r w:rsidRPr="003B09A5">
        <w:rPr>
          <w:i/>
          <w:iCs/>
        </w:rPr>
        <w:t>La loi du pays d</w:t>
      </w:r>
      <w:r>
        <w:rPr>
          <w:i/>
          <w:iCs/>
        </w:rPr>
        <w:t>’</w:t>
      </w:r>
      <w:r w:rsidRPr="003B09A5">
        <w:rPr>
          <w:i/>
          <w:iCs/>
        </w:rPr>
        <w:t>origine en droit de l</w:t>
      </w:r>
      <w:r>
        <w:rPr>
          <w:i/>
          <w:iCs/>
        </w:rPr>
        <w:t>’</w:t>
      </w:r>
      <w:r w:rsidRPr="003B09A5">
        <w:rPr>
          <w:i/>
          <w:iCs/>
        </w:rPr>
        <w:t>Union européenne</w:t>
      </w:r>
      <w:r w:rsidRPr="003B09A5">
        <w:t>, Bruxelle</w:t>
      </w:r>
      <w:r>
        <w:t>s, Bruylant, 2012, p. 208 et s</w:t>
      </w:r>
      <w:r w:rsidRPr="003B09A5">
        <w:t>.</w:t>
      </w:r>
      <w:r>
        <w:t xml:space="preserve"> </w:t>
      </w:r>
    </w:p>
  </w:footnote>
  <w:footnote w:id="27">
    <w:p w14:paraId="7F8E7DC0" w14:textId="01AA5E1D" w:rsidR="008932FA" w:rsidRDefault="008932FA" w:rsidP="00634778">
      <w:pPr>
        <w:pStyle w:val="Notedebasdepage"/>
        <w:spacing w:after="0"/>
      </w:pPr>
      <w:r>
        <w:rPr>
          <w:rStyle w:val="Appelnotedebasdep"/>
        </w:rPr>
        <w:footnoteRef/>
      </w:r>
      <w:r w:rsidRPr="005775D7">
        <w:rPr>
          <w:spacing w:val="-2"/>
        </w:rPr>
        <w:t xml:space="preserve"> E. </w:t>
      </w:r>
      <w:proofErr w:type="spellStart"/>
      <w:r w:rsidRPr="005775D7">
        <w:rPr>
          <w:spacing w:val="-2"/>
        </w:rPr>
        <w:t>Carpano</w:t>
      </w:r>
      <w:proofErr w:type="spellEnd"/>
      <w:r w:rsidRPr="005775D7">
        <w:rPr>
          <w:spacing w:val="-2"/>
        </w:rPr>
        <w:t xml:space="preserve">, « La dynamique </w:t>
      </w:r>
      <w:proofErr w:type="spellStart"/>
      <w:r w:rsidRPr="005775D7">
        <w:rPr>
          <w:spacing w:val="-2"/>
        </w:rPr>
        <w:t>dérégulatoire</w:t>
      </w:r>
      <w:proofErr w:type="spellEnd"/>
      <w:r w:rsidRPr="005775D7">
        <w:rPr>
          <w:spacing w:val="-2"/>
        </w:rPr>
        <w:t xml:space="preserve"> de l’entrave dans le marché intérieur », </w:t>
      </w:r>
      <w:r w:rsidRPr="005775D7">
        <w:rPr>
          <w:i/>
          <w:spacing w:val="-2"/>
        </w:rPr>
        <w:t>RUE</w:t>
      </w:r>
      <w:r w:rsidRPr="005775D7">
        <w:rPr>
          <w:spacing w:val="-2"/>
        </w:rPr>
        <w:t>, 2018, n°616, p. 144-146.</w:t>
      </w:r>
    </w:p>
  </w:footnote>
  <w:footnote w:id="28">
    <w:p w14:paraId="7268316E" w14:textId="77777777" w:rsidR="008932FA" w:rsidRDefault="008932FA" w:rsidP="00634778">
      <w:pPr>
        <w:pStyle w:val="Notedebasdepage"/>
        <w:spacing w:after="0"/>
      </w:pPr>
      <w:r>
        <w:rPr>
          <w:rStyle w:val="Appelnotedebasdep"/>
        </w:rPr>
        <w:footnoteRef/>
      </w:r>
      <w:r>
        <w:t xml:space="preserve"> Communication de la Commission </w:t>
      </w:r>
      <w:proofErr w:type="spellStart"/>
      <w:r>
        <w:t>préc</w:t>
      </w:r>
      <w:proofErr w:type="spellEnd"/>
      <w:r>
        <w:t xml:space="preserve">., </w:t>
      </w:r>
      <w:proofErr w:type="gramStart"/>
      <w:r>
        <w:t>COM[</w:t>
      </w:r>
      <w:proofErr w:type="gramEnd"/>
      <w:r>
        <w:t>2000]495, pt. 3.1.</w:t>
      </w:r>
    </w:p>
  </w:footnote>
  <w:footnote w:id="29">
    <w:p w14:paraId="163B6688" w14:textId="1BC4954F" w:rsidR="008932FA" w:rsidRPr="00EE6C2B" w:rsidRDefault="008932FA" w:rsidP="00DD7331">
      <w:pPr>
        <w:pStyle w:val="Notedebasdepage"/>
        <w:spacing w:after="0"/>
      </w:pPr>
      <w:r>
        <w:rPr>
          <w:rStyle w:val="Appelnotedebasdep"/>
        </w:rPr>
        <w:footnoteRef/>
      </w:r>
      <w:r>
        <w:t> </w:t>
      </w:r>
      <w:r w:rsidRPr="00EE6C2B">
        <w:t>Décision-cadre</w:t>
      </w:r>
      <w:r>
        <w:t xml:space="preserve"> 2002/548/JAI</w:t>
      </w:r>
      <w:r w:rsidRPr="00EE6C2B">
        <w:t xml:space="preserve"> du Conseil du 13 juin 2002 relative au mandat d</w:t>
      </w:r>
      <w:r>
        <w:t>’</w:t>
      </w:r>
      <w:r w:rsidRPr="00EE6C2B">
        <w:t>arrêt européen et aux procédures de remise entre États membres</w:t>
      </w:r>
      <w:r>
        <w:t xml:space="preserve">, </w:t>
      </w:r>
      <w:r w:rsidRPr="00EE6C2B">
        <w:rPr>
          <w:i/>
        </w:rPr>
        <w:t>JOUE</w:t>
      </w:r>
      <w:r>
        <w:t xml:space="preserve"> du 18 juillet 2002, L 190/1.</w:t>
      </w:r>
    </w:p>
  </w:footnote>
  <w:footnote w:id="30">
    <w:p w14:paraId="507F9738" w14:textId="36B0716A" w:rsidR="008932FA" w:rsidRDefault="008932FA" w:rsidP="00634778">
      <w:pPr>
        <w:pStyle w:val="Notedebasdepage"/>
        <w:spacing w:after="0"/>
      </w:pPr>
      <w:r>
        <w:rPr>
          <w:rStyle w:val="Appelnotedebasdep"/>
        </w:rPr>
        <w:footnoteRef/>
      </w:r>
      <w:r>
        <w:t xml:space="preserve"> Sur les difficultés induites par cette suppression : D. Flore, « Reconnaissance mutuelle, double incrimination et territorialité », in G. de </w:t>
      </w:r>
      <w:proofErr w:type="spellStart"/>
      <w:r>
        <w:t>Kerchove</w:t>
      </w:r>
      <w:proofErr w:type="spellEnd"/>
      <w:r>
        <w:t xml:space="preserve"> et A. </w:t>
      </w:r>
      <w:proofErr w:type="spellStart"/>
      <w:r>
        <w:t>Weyembergh</w:t>
      </w:r>
      <w:proofErr w:type="spellEnd"/>
      <w:r>
        <w:t xml:space="preserve">, </w:t>
      </w:r>
      <w:r w:rsidRPr="00B15EB0">
        <w:rPr>
          <w:i/>
        </w:rPr>
        <w:t>La reconnaissance mutuelle des décisions judiciaires pénales dans l</w:t>
      </w:r>
      <w:r>
        <w:rPr>
          <w:i/>
        </w:rPr>
        <w:t>’</w:t>
      </w:r>
      <w:r w:rsidRPr="00B15EB0">
        <w:rPr>
          <w:i/>
        </w:rPr>
        <w:t>Union européenne</w:t>
      </w:r>
      <w:r>
        <w:t xml:space="preserve">, Bruxelles, Ed. </w:t>
      </w:r>
      <w:proofErr w:type="gramStart"/>
      <w:r>
        <w:t>de</w:t>
      </w:r>
      <w:proofErr w:type="gramEnd"/>
      <w:r>
        <w:t xml:space="preserve"> l’Université de Bruxelles, 2002, p. 65.</w:t>
      </w:r>
    </w:p>
  </w:footnote>
  <w:footnote w:id="31">
    <w:p w14:paraId="2A11C430" w14:textId="68C331C8" w:rsidR="008932FA" w:rsidRPr="009E5C91" w:rsidRDefault="008932FA" w:rsidP="00634778">
      <w:pPr>
        <w:pStyle w:val="Notedebasdepage"/>
        <w:spacing w:after="0"/>
      </w:pPr>
      <w:r>
        <w:rPr>
          <w:rStyle w:val="Appelnotedebasdep"/>
        </w:rPr>
        <w:footnoteRef/>
      </w:r>
      <w:r>
        <w:t xml:space="preserve"> CJUE, 3 mai 2007, </w:t>
      </w:r>
      <w:proofErr w:type="spellStart"/>
      <w:r w:rsidRPr="009E5C91">
        <w:rPr>
          <w:i/>
        </w:rPr>
        <w:t>Advocaten</w:t>
      </w:r>
      <w:proofErr w:type="spellEnd"/>
      <w:r w:rsidRPr="009E5C91">
        <w:rPr>
          <w:i/>
        </w:rPr>
        <w:t xml:space="preserve"> </w:t>
      </w:r>
      <w:proofErr w:type="spellStart"/>
      <w:r w:rsidRPr="009E5C91">
        <w:rPr>
          <w:i/>
        </w:rPr>
        <w:t>voor</w:t>
      </w:r>
      <w:proofErr w:type="spellEnd"/>
      <w:r w:rsidRPr="009E5C91">
        <w:rPr>
          <w:i/>
        </w:rPr>
        <w:t xml:space="preserve"> de </w:t>
      </w:r>
      <w:proofErr w:type="spellStart"/>
      <w:r w:rsidRPr="009E5C91">
        <w:rPr>
          <w:i/>
        </w:rPr>
        <w:t>Wereld</w:t>
      </w:r>
      <w:proofErr w:type="spellEnd"/>
      <w:r w:rsidRPr="009E5C91">
        <w:rPr>
          <w:i/>
        </w:rPr>
        <w:t xml:space="preserve"> VZW</w:t>
      </w:r>
      <w:r>
        <w:rPr>
          <w:i/>
        </w:rPr>
        <w:t xml:space="preserve"> c. </w:t>
      </w:r>
      <w:proofErr w:type="spellStart"/>
      <w:r>
        <w:rPr>
          <w:i/>
        </w:rPr>
        <w:t>L</w:t>
      </w:r>
      <w:r w:rsidRPr="009E5C91">
        <w:rPr>
          <w:i/>
        </w:rPr>
        <w:t>eden</w:t>
      </w:r>
      <w:proofErr w:type="spellEnd"/>
      <w:r w:rsidRPr="009E5C91">
        <w:rPr>
          <w:i/>
        </w:rPr>
        <w:t xml:space="preserve"> van de </w:t>
      </w:r>
      <w:proofErr w:type="spellStart"/>
      <w:r w:rsidRPr="009E5C91">
        <w:rPr>
          <w:i/>
        </w:rPr>
        <w:t>Ministerraad</w:t>
      </w:r>
      <w:proofErr w:type="spellEnd"/>
      <w:r>
        <w:t>, Aff. C-303/05, pt. 53.</w:t>
      </w:r>
    </w:p>
  </w:footnote>
  <w:footnote w:id="32">
    <w:p w14:paraId="01B8E639" w14:textId="0BE14D2C" w:rsidR="008932FA" w:rsidRPr="00D71C69" w:rsidRDefault="008932FA" w:rsidP="00634778">
      <w:pPr>
        <w:pStyle w:val="Notedebasdepage"/>
        <w:spacing w:after="0"/>
      </w:pPr>
      <w:r>
        <w:rPr>
          <w:rStyle w:val="Appelnotedebasdep"/>
        </w:rPr>
        <w:footnoteRef/>
      </w:r>
      <w:r>
        <w:t xml:space="preserve"> Voir pour une application du règlement 2201/2003 « Bruxelles II bis », à propos d’une décision de justice prononcée en matière d’enlèvement d’enfant et ordonnant le retour de celui-ci dans l’Etat d’origine : CJUE, 1</w:t>
      </w:r>
      <w:r w:rsidRPr="00ED5A28">
        <w:rPr>
          <w:vertAlign w:val="superscript"/>
        </w:rPr>
        <w:t>er</w:t>
      </w:r>
      <w:r>
        <w:t xml:space="preserve"> juillet 2010, </w:t>
      </w:r>
      <w:proofErr w:type="spellStart"/>
      <w:r>
        <w:rPr>
          <w:i/>
        </w:rPr>
        <w:t>Povse</w:t>
      </w:r>
      <w:proofErr w:type="spellEnd"/>
      <w:r>
        <w:rPr>
          <w:i/>
        </w:rPr>
        <w:t xml:space="preserve"> c. </w:t>
      </w:r>
      <w:proofErr w:type="spellStart"/>
      <w:r>
        <w:rPr>
          <w:i/>
        </w:rPr>
        <w:t>Alapgo</w:t>
      </w:r>
      <w:proofErr w:type="spellEnd"/>
      <w:r>
        <w:t xml:space="preserve">, Aff. </w:t>
      </w:r>
      <w:r w:rsidRPr="00D71C69">
        <w:t>C-211/10 PPU.</w:t>
      </w:r>
    </w:p>
  </w:footnote>
  <w:footnote w:id="33">
    <w:p w14:paraId="2041BD67" w14:textId="694861C2" w:rsidR="008932FA" w:rsidRPr="00C05C14" w:rsidRDefault="008932FA" w:rsidP="00634778">
      <w:pPr>
        <w:pStyle w:val="Notedebasdepage"/>
        <w:spacing w:after="0"/>
      </w:pPr>
      <w:r>
        <w:rPr>
          <w:rStyle w:val="Appelnotedebasdep"/>
        </w:rPr>
        <w:footnoteRef/>
      </w:r>
      <w:r w:rsidRPr="00C05C14">
        <w:t xml:space="preserve"> Voir l</w:t>
      </w:r>
      <w:r>
        <w:t>’</w:t>
      </w:r>
      <w:r w:rsidRPr="00C05C14">
        <w:t>arrêt fondateur en la matière, rendu sous l</w:t>
      </w:r>
      <w:r>
        <w:t>’</w:t>
      </w:r>
      <w:r w:rsidRPr="00C05C14">
        <w:t>empire de l</w:t>
      </w:r>
      <w:r>
        <w:t>’</w:t>
      </w:r>
      <w:r w:rsidRPr="00C05C14">
        <w:t>article 54 de la Con</w:t>
      </w:r>
      <w:r>
        <w:t xml:space="preserve">vention d’application de l’accord de Schengen : CJCE, 11 février 2003, </w:t>
      </w:r>
      <w:proofErr w:type="spellStart"/>
      <w:r w:rsidRPr="00C05C14">
        <w:rPr>
          <w:i/>
        </w:rPr>
        <w:t>Gözütok</w:t>
      </w:r>
      <w:proofErr w:type="spellEnd"/>
      <w:r w:rsidRPr="00C05C14">
        <w:rPr>
          <w:i/>
        </w:rPr>
        <w:t xml:space="preserve"> et </w:t>
      </w:r>
      <w:proofErr w:type="spellStart"/>
      <w:r w:rsidRPr="00C05C14">
        <w:rPr>
          <w:i/>
        </w:rPr>
        <w:t>Brügge</w:t>
      </w:r>
      <w:proofErr w:type="spellEnd"/>
      <w:r>
        <w:t>, Aff. C</w:t>
      </w:r>
      <w:r>
        <w:noBreakHyphen/>
        <w:t>187/01 et C</w:t>
      </w:r>
      <w:r>
        <w:noBreakHyphen/>
        <w:t>385/01.</w:t>
      </w:r>
    </w:p>
  </w:footnote>
  <w:footnote w:id="34">
    <w:p w14:paraId="7288B538" w14:textId="2EBAECD6" w:rsidR="008932FA" w:rsidRPr="007154DB" w:rsidRDefault="008932FA" w:rsidP="00634778">
      <w:pPr>
        <w:pStyle w:val="Notedebasdepage"/>
        <w:spacing w:after="0"/>
      </w:pPr>
      <w:r>
        <w:rPr>
          <w:rStyle w:val="Appelnotedebasdep"/>
        </w:rPr>
        <w:footnoteRef/>
      </w:r>
      <w:r>
        <w:t xml:space="preserve"> Article 32 de la directive 2013/32/UE </w:t>
      </w:r>
      <w:r w:rsidRPr="007154DB">
        <w:t>du Parlement européen et du Conseil du 26 juin 2013 relative à des procédures communes pour l</w:t>
      </w:r>
      <w:r>
        <w:t>’</w:t>
      </w:r>
      <w:r w:rsidRPr="007154DB">
        <w:t>octroi et le retrait de la protection internationale</w:t>
      </w:r>
      <w:r>
        <w:t xml:space="preserve">, </w:t>
      </w:r>
      <w:r>
        <w:rPr>
          <w:i/>
        </w:rPr>
        <w:t>JOUE</w:t>
      </w:r>
      <w:r>
        <w:t xml:space="preserve"> du 29 juin 2013, L 180/60.</w:t>
      </w:r>
    </w:p>
  </w:footnote>
  <w:footnote w:id="35">
    <w:p w14:paraId="688EDCE4" w14:textId="66D4F926" w:rsidR="008932FA" w:rsidRPr="00BB4FF2" w:rsidRDefault="008932FA" w:rsidP="00634778">
      <w:pPr>
        <w:pStyle w:val="Notedebasdepage"/>
        <w:spacing w:after="0"/>
      </w:pPr>
      <w:r>
        <w:rPr>
          <w:rStyle w:val="Appelnotedebasdep"/>
        </w:rPr>
        <w:footnoteRef/>
      </w:r>
      <w:r>
        <w:t xml:space="preserve"> Article 6, §1, d) et e) du règlement (UE) </w:t>
      </w:r>
      <w:r w:rsidRPr="00BB4FF2">
        <w:t>2016/399 du Parlement européen et du Conseil du 9 mars 2016 concernant un code de l</w:t>
      </w:r>
      <w:r>
        <w:t>’</w:t>
      </w:r>
      <w:r w:rsidRPr="00BB4FF2">
        <w:t>Union relatif au régime de franchissement des frontières par les personnes</w:t>
      </w:r>
      <w:r>
        <w:t xml:space="preserve">, </w:t>
      </w:r>
      <w:r>
        <w:rPr>
          <w:i/>
        </w:rPr>
        <w:t>JOUE</w:t>
      </w:r>
      <w:r>
        <w:t xml:space="preserve"> du 23 mars 2016, L 77/1.</w:t>
      </w:r>
    </w:p>
  </w:footnote>
  <w:footnote w:id="36">
    <w:p w14:paraId="42DA6034" w14:textId="46C75E15" w:rsidR="008932FA" w:rsidRPr="001D7DDA" w:rsidRDefault="008932FA" w:rsidP="00634778">
      <w:pPr>
        <w:pStyle w:val="Notedebasdepage"/>
        <w:spacing w:after="0"/>
      </w:pPr>
      <w:r>
        <w:rPr>
          <w:rStyle w:val="Appelnotedebasdep"/>
        </w:rPr>
        <w:footnoteRef/>
      </w:r>
      <w:r>
        <w:t xml:space="preserve"> Article 32, §1, v) et vi) du règlement (CE) 810/2009 du Parlement européen et du Conseil du 13 juillet 2009, </w:t>
      </w:r>
      <w:r>
        <w:rPr>
          <w:i/>
        </w:rPr>
        <w:t>JOUE</w:t>
      </w:r>
      <w:r>
        <w:t xml:space="preserve"> du 15 septembre 2009, L 243/1.</w:t>
      </w:r>
    </w:p>
  </w:footnote>
  <w:footnote w:id="37">
    <w:p w14:paraId="14534B52" w14:textId="122E1813" w:rsidR="008932FA" w:rsidRDefault="008932FA" w:rsidP="00634778">
      <w:pPr>
        <w:pStyle w:val="Notedebasdepage"/>
        <w:spacing w:after="0"/>
      </w:pPr>
      <w:r>
        <w:rPr>
          <w:rStyle w:val="Appelnotedebasdep"/>
        </w:rPr>
        <w:footnoteRef/>
      </w:r>
      <w:r>
        <w:t xml:space="preserve"> Article 25 du règlement 810/2009.</w:t>
      </w:r>
    </w:p>
  </w:footnote>
  <w:footnote w:id="38">
    <w:p w14:paraId="55935152" w14:textId="55A41DE4" w:rsidR="008932FA" w:rsidRDefault="008932FA" w:rsidP="00634778">
      <w:pPr>
        <w:pStyle w:val="Notedebasdepage"/>
        <w:spacing w:after="0"/>
      </w:pPr>
      <w:r>
        <w:rPr>
          <w:rStyle w:val="Appelnotedebasdep"/>
        </w:rPr>
        <w:footnoteRef/>
      </w:r>
      <w:r>
        <w:t xml:space="preserve"> Article 22 du règlement 810/2009.</w:t>
      </w:r>
    </w:p>
  </w:footnote>
  <w:footnote w:id="39">
    <w:p w14:paraId="032048C8" w14:textId="764A348F" w:rsidR="008932FA" w:rsidRPr="00BF5D0D" w:rsidRDefault="008932FA" w:rsidP="00634778">
      <w:pPr>
        <w:pStyle w:val="Notedebasdepage"/>
        <w:spacing w:after="0"/>
        <w:rPr>
          <w:spacing w:val="-2"/>
        </w:rPr>
      </w:pPr>
      <w:r>
        <w:rPr>
          <w:rStyle w:val="Appelnotedebasdep"/>
        </w:rPr>
        <w:footnoteRef/>
      </w:r>
      <w:r>
        <w:t xml:space="preserve"> Voir pour une application de l’article 25 de la Convention d’application de l’Accord Schengen : CJUE, </w:t>
      </w:r>
      <w:r w:rsidRPr="00BF5D0D">
        <w:rPr>
          <w:spacing w:val="-2"/>
        </w:rPr>
        <w:t xml:space="preserve">16 janvier 2018, </w:t>
      </w:r>
      <w:r w:rsidRPr="00BF5D0D">
        <w:rPr>
          <w:i/>
          <w:spacing w:val="-2"/>
        </w:rPr>
        <w:t>E.</w:t>
      </w:r>
      <w:r w:rsidRPr="00BF5D0D">
        <w:rPr>
          <w:spacing w:val="-2"/>
        </w:rPr>
        <w:t xml:space="preserve">, Aff. C-240/17. On notera qu’à l’inverse, l’article 34, §2 du règlement 810/2009 prévoit la possibilité pour un Etat membre d’annuler ou d’abroger un visa « court séjour » accordé par les autorités compétentes d’un autre Etat membre, sans que cette décision </w:t>
      </w:r>
      <w:r>
        <w:rPr>
          <w:spacing w:val="-2"/>
        </w:rPr>
        <w:t xml:space="preserve">ne </w:t>
      </w:r>
      <w:r w:rsidRPr="00BF5D0D">
        <w:rPr>
          <w:spacing w:val="-2"/>
        </w:rPr>
        <w:t>soit subordonnée au résultat d’une consultation.</w:t>
      </w:r>
    </w:p>
  </w:footnote>
  <w:footnote w:id="40">
    <w:p w14:paraId="55467319" w14:textId="63F52D18" w:rsidR="008932FA" w:rsidRDefault="008932FA" w:rsidP="00634778">
      <w:pPr>
        <w:pStyle w:val="Notedebasdepage"/>
        <w:spacing w:after="0"/>
      </w:pPr>
      <w:r>
        <w:rPr>
          <w:rStyle w:val="Appelnotedebasdep"/>
        </w:rPr>
        <w:footnoteRef/>
      </w:r>
      <w:r>
        <w:t xml:space="preserve"> La</w:t>
      </w:r>
      <w:r w:rsidRPr="00CD3BAE">
        <w:t xml:space="preserve"> décision-cadre sur le MAE</w:t>
      </w:r>
      <w:r>
        <w:t xml:space="preserve">, </w:t>
      </w:r>
      <w:r w:rsidRPr="00CD3BAE">
        <w:t>par exemple</w:t>
      </w:r>
      <w:r>
        <w:t>,</w:t>
      </w:r>
      <w:r w:rsidRPr="00CD3BAE">
        <w:t xml:space="preserve"> </w:t>
      </w:r>
      <w:r>
        <w:t>prévoit ainsi</w:t>
      </w:r>
      <w:r w:rsidRPr="00CD3BAE">
        <w:t xml:space="preserve"> à l</w:t>
      </w:r>
      <w:r>
        <w:t>’</w:t>
      </w:r>
      <w:r w:rsidRPr="00CD3BAE">
        <w:t>article 3 des</w:t>
      </w:r>
      <w:r>
        <w:t xml:space="preserve"> motifs de non-</w:t>
      </w:r>
      <w:r w:rsidRPr="00CD3BAE">
        <w:t>exécution obligatoires, et à l</w:t>
      </w:r>
      <w:r>
        <w:t>’</w:t>
      </w:r>
      <w:r w:rsidRPr="00CD3BAE">
        <w:t>article 4 des motifs de non</w:t>
      </w:r>
      <w:r>
        <w:t>-</w:t>
      </w:r>
      <w:r w:rsidRPr="00CD3BAE">
        <w:t>exécution facultatifs d</w:t>
      </w:r>
      <w:r>
        <w:t>’</w:t>
      </w:r>
      <w:r w:rsidRPr="00CD3BAE">
        <w:t>un mandat émis par un autre Etat membre.</w:t>
      </w:r>
    </w:p>
  </w:footnote>
  <w:footnote w:id="41">
    <w:p w14:paraId="5BF04724" w14:textId="4D6DCA51" w:rsidR="008932FA" w:rsidRDefault="008932FA" w:rsidP="00634778">
      <w:pPr>
        <w:pStyle w:val="Notedebasdepage"/>
        <w:spacing w:after="0"/>
      </w:pPr>
      <w:r>
        <w:rPr>
          <w:rStyle w:val="Appelnotedebasdep"/>
        </w:rPr>
        <w:footnoteRef/>
      </w:r>
      <w:r>
        <w:t xml:space="preserve"> Voir, au sujet des dérogations possibles à la libre circulation dans le marché intérieur, la contribution à cet ouvrage du Professeur Valérie Michel.</w:t>
      </w:r>
    </w:p>
  </w:footnote>
  <w:footnote w:id="42">
    <w:p w14:paraId="158E0816" w14:textId="0E21828F" w:rsidR="008932FA" w:rsidRDefault="008932FA" w:rsidP="00634778">
      <w:pPr>
        <w:pStyle w:val="Notedebasdepage"/>
        <w:spacing w:after="0"/>
      </w:pPr>
      <w:r>
        <w:rPr>
          <w:rStyle w:val="Appelnotedebasdep"/>
        </w:rPr>
        <w:footnoteRef/>
      </w:r>
      <w:r>
        <w:t xml:space="preserve"> Une telle situation relève autrement dit d’un « principe d’internationalité » (J.-B. Auby et J. </w:t>
      </w:r>
      <w:proofErr w:type="spellStart"/>
      <w:r>
        <w:t>Dutheil</w:t>
      </w:r>
      <w:proofErr w:type="spellEnd"/>
      <w:r>
        <w:t xml:space="preserve"> de la Rochère, « Introduction », in J.-B. Auby et J. </w:t>
      </w:r>
      <w:proofErr w:type="spellStart"/>
      <w:r>
        <w:t>Dutheil</w:t>
      </w:r>
      <w:proofErr w:type="spellEnd"/>
      <w:r>
        <w:t xml:space="preserve"> de la Rochère (dir.), E. Chevalier (</w:t>
      </w:r>
      <w:proofErr w:type="spellStart"/>
      <w:r>
        <w:t>collab</w:t>
      </w:r>
      <w:proofErr w:type="spellEnd"/>
      <w:r>
        <w:t xml:space="preserve">.), </w:t>
      </w:r>
      <w:r>
        <w:rPr>
          <w:i/>
          <w:iCs/>
        </w:rPr>
        <w:t>Traité de droit administratif européen</w:t>
      </w:r>
      <w:r>
        <w:rPr>
          <w:iCs/>
        </w:rPr>
        <w:t>, Bruxelles, Bruylant, 2</w:t>
      </w:r>
      <w:r w:rsidRPr="009C3C82">
        <w:rPr>
          <w:iCs/>
          <w:vertAlign w:val="superscript"/>
        </w:rPr>
        <w:t>ème</w:t>
      </w:r>
      <w:r>
        <w:rPr>
          <w:iCs/>
        </w:rPr>
        <w:t xml:space="preserve"> éd.</w:t>
      </w:r>
      <w:r>
        <w:t>, p. 21).</w:t>
      </w:r>
    </w:p>
  </w:footnote>
  <w:footnote w:id="43">
    <w:p w14:paraId="69E8E0D9" w14:textId="77777777" w:rsidR="008932FA" w:rsidRPr="00CB5811" w:rsidRDefault="008932FA" w:rsidP="00634778">
      <w:pPr>
        <w:pStyle w:val="Notedebasdepage"/>
        <w:spacing w:after="0"/>
        <w:rPr>
          <w:lang w:val="en-US"/>
        </w:rPr>
      </w:pPr>
      <w:r>
        <w:rPr>
          <w:rStyle w:val="Appelnotedebasdep"/>
        </w:rPr>
        <w:footnoteRef/>
      </w:r>
      <w:r w:rsidRPr="00CB5811">
        <w:rPr>
          <w:lang w:val="en-US"/>
        </w:rPr>
        <w:t xml:space="preserve"> E. </w:t>
      </w:r>
      <w:proofErr w:type="spellStart"/>
      <w:r w:rsidRPr="00CB5811">
        <w:rPr>
          <w:lang w:val="en-US"/>
        </w:rPr>
        <w:t>Carpano</w:t>
      </w:r>
      <w:proofErr w:type="spellEnd"/>
      <w:r w:rsidRPr="00CB5811">
        <w:rPr>
          <w:lang w:val="en-US"/>
        </w:rPr>
        <w:t xml:space="preserve">, </w:t>
      </w:r>
      <w:r w:rsidRPr="00CB5811">
        <w:rPr>
          <w:i/>
          <w:lang w:val="en-US"/>
        </w:rPr>
        <w:t>op. cit.</w:t>
      </w:r>
      <w:r w:rsidRPr="00CB5811">
        <w:rPr>
          <w:lang w:val="en-US"/>
        </w:rPr>
        <w:t>, p. 148.</w:t>
      </w:r>
    </w:p>
  </w:footnote>
  <w:footnote w:id="44">
    <w:p w14:paraId="0EC0FEB1" w14:textId="5C3C048D" w:rsidR="008932FA" w:rsidRDefault="008932FA" w:rsidP="00634778">
      <w:pPr>
        <w:pStyle w:val="Notedebasdepage"/>
        <w:spacing w:after="0"/>
      </w:pPr>
      <w:r>
        <w:rPr>
          <w:rStyle w:val="Appelnotedebasdep"/>
        </w:rPr>
        <w:footnoteRef/>
      </w:r>
      <w:r>
        <w:t xml:space="preserve"> Voir notamment, </w:t>
      </w:r>
      <w:r w:rsidRPr="009C3C82">
        <w:t>M. G</w:t>
      </w:r>
      <w:r>
        <w:t>autier</w:t>
      </w:r>
      <w:r w:rsidRPr="009C3C82">
        <w:t>, « Acte administratif transnational</w:t>
      </w:r>
      <w:r>
        <w:t xml:space="preserve"> et droit de l’Union européenne », in </w:t>
      </w:r>
      <w:r>
        <w:rPr>
          <w:i/>
          <w:iCs/>
        </w:rPr>
        <w:t>Traité de droit administratif européen</w:t>
      </w:r>
      <w:r>
        <w:rPr>
          <w:iCs/>
        </w:rPr>
        <w:t xml:space="preserve">, </w:t>
      </w:r>
      <w:r>
        <w:rPr>
          <w:i/>
          <w:iCs/>
        </w:rPr>
        <w:t xml:space="preserve">op. </w:t>
      </w:r>
      <w:proofErr w:type="gramStart"/>
      <w:r>
        <w:rPr>
          <w:i/>
          <w:iCs/>
        </w:rPr>
        <w:t>cit</w:t>
      </w:r>
      <w:proofErr w:type="gramEnd"/>
      <w:r>
        <w:rPr>
          <w:i/>
          <w:iCs/>
        </w:rPr>
        <w:t>.</w:t>
      </w:r>
      <w:r>
        <w:rPr>
          <w:iCs/>
        </w:rPr>
        <w:t>,</w:t>
      </w:r>
      <w:r w:rsidRPr="009C3C82">
        <w:t xml:space="preserve"> p.</w:t>
      </w:r>
      <w:r>
        <w:t> 1303-1316.</w:t>
      </w:r>
    </w:p>
  </w:footnote>
  <w:footnote w:id="45">
    <w:p w14:paraId="722BDFA9" w14:textId="6EDFB02B" w:rsidR="008932FA" w:rsidRPr="001760C8" w:rsidRDefault="008932FA" w:rsidP="00634778">
      <w:pPr>
        <w:pStyle w:val="Notedebasdepage"/>
        <w:spacing w:after="0"/>
      </w:pPr>
      <w:r>
        <w:rPr>
          <w:rStyle w:val="Appelnotedebasdep"/>
        </w:rPr>
        <w:footnoteRef/>
      </w:r>
      <w:r>
        <w:t xml:space="preserve"> CE, </w:t>
      </w:r>
      <w:r w:rsidRPr="00637A29">
        <w:t xml:space="preserve">9 juin 1999, </w:t>
      </w:r>
      <w:r w:rsidRPr="00637A29">
        <w:rPr>
          <w:i/>
          <w:iCs/>
        </w:rPr>
        <w:t xml:space="preserve">M. et Mme </w:t>
      </w:r>
      <w:proofErr w:type="spellStart"/>
      <w:r w:rsidRPr="00637A29">
        <w:rPr>
          <w:i/>
          <w:iCs/>
        </w:rPr>
        <w:t>Forabosco</w:t>
      </w:r>
      <w:proofErr w:type="spellEnd"/>
      <w:r w:rsidRPr="00637A29">
        <w:t xml:space="preserve">, </w:t>
      </w:r>
      <w:r w:rsidRPr="00637A29">
        <w:rPr>
          <w:i/>
          <w:iCs/>
        </w:rPr>
        <w:t xml:space="preserve">Rec. </w:t>
      </w:r>
      <w:r>
        <w:t xml:space="preserve">170. </w:t>
      </w:r>
      <w:r w:rsidRPr="001760C8">
        <w:t>L</w:t>
      </w:r>
      <w:r>
        <w:t>’</w:t>
      </w:r>
      <w:r w:rsidRPr="001760C8">
        <w:t>affirmation explicite de cette compétence de contrôle vient ainsi compléter le droit de recours qui était prévu par l</w:t>
      </w:r>
      <w:r>
        <w:t>’</w:t>
      </w:r>
      <w:r w:rsidRPr="001760C8">
        <w:t>article 116 de la Conven</w:t>
      </w:r>
      <w:r w:rsidRPr="001760C8">
        <w:softHyphen/>
        <w:t>tion Schengen afin de permettre, devant toute juridiction d</w:t>
      </w:r>
      <w:r>
        <w:t xml:space="preserve">’un Etat </w:t>
      </w:r>
      <w:r w:rsidRPr="001760C8">
        <w:t>partie, l</w:t>
      </w:r>
      <w:r>
        <w:t>’</w:t>
      </w:r>
      <w:r w:rsidRPr="001760C8">
        <w:t>indemni</w:t>
      </w:r>
      <w:r w:rsidRPr="001760C8">
        <w:softHyphen/>
        <w:t>sation du préjudice subi en raison d</w:t>
      </w:r>
      <w:r>
        <w:t>’</w:t>
      </w:r>
      <w:r w:rsidRPr="001760C8">
        <w:t>un signalement irrégulier</w:t>
      </w:r>
      <w:r>
        <w:t>.</w:t>
      </w:r>
    </w:p>
  </w:footnote>
  <w:footnote w:id="46">
    <w:p w14:paraId="55F74111" w14:textId="3FC39319" w:rsidR="008932FA" w:rsidRDefault="008932FA" w:rsidP="00634778">
      <w:pPr>
        <w:pStyle w:val="Notedebasdepage"/>
        <w:spacing w:after="0"/>
      </w:pPr>
      <w:r>
        <w:rPr>
          <w:rStyle w:val="Appelnotedebasdep"/>
        </w:rPr>
        <w:footnoteRef/>
      </w:r>
      <w:r>
        <w:t xml:space="preserve"> </w:t>
      </w:r>
      <w:r w:rsidRPr="002744EF">
        <w:t xml:space="preserve">CE, 23 novembre 2001, </w:t>
      </w:r>
      <w:r w:rsidRPr="002744EF">
        <w:rPr>
          <w:i/>
          <w:iCs/>
        </w:rPr>
        <w:t xml:space="preserve">M. </w:t>
      </w:r>
      <w:proofErr w:type="spellStart"/>
      <w:r w:rsidRPr="002744EF">
        <w:rPr>
          <w:i/>
          <w:iCs/>
        </w:rPr>
        <w:t>Mayimona</w:t>
      </w:r>
      <w:proofErr w:type="spellEnd"/>
      <w:r w:rsidRPr="002744EF">
        <w:t xml:space="preserve">, </w:t>
      </w:r>
      <w:proofErr w:type="spellStart"/>
      <w:r w:rsidRPr="002744EF">
        <w:t>req</w:t>
      </w:r>
      <w:proofErr w:type="spellEnd"/>
      <w:r w:rsidRPr="002744EF">
        <w:t xml:space="preserve">. </w:t>
      </w:r>
      <w:proofErr w:type="gramStart"/>
      <w:r w:rsidRPr="002744EF">
        <w:t>no</w:t>
      </w:r>
      <w:proofErr w:type="gramEnd"/>
      <w:r w:rsidRPr="002744EF">
        <w:t xml:space="preserve"> 217415 ; CE, 11 février 2005, </w:t>
      </w:r>
      <w:proofErr w:type="spellStart"/>
      <w:r w:rsidRPr="002744EF">
        <w:rPr>
          <w:i/>
          <w:iCs/>
        </w:rPr>
        <w:t>Seïf</w:t>
      </w:r>
      <w:proofErr w:type="spellEnd"/>
      <w:r w:rsidRPr="002744EF">
        <w:rPr>
          <w:i/>
          <w:iCs/>
        </w:rPr>
        <w:t xml:space="preserve"> Eddine X</w:t>
      </w:r>
      <w:r w:rsidRPr="002744EF">
        <w:t xml:space="preserve">, </w:t>
      </w:r>
      <w:proofErr w:type="spellStart"/>
      <w:r w:rsidRPr="002744EF">
        <w:t>req</w:t>
      </w:r>
      <w:proofErr w:type="spellEnd"/>
      <w:r w:rsidRPr="002744EF">
        <w:t xml:space="preserve">. </w:t>
      </w:r>
      <w:proofErr w:type="gramStart"/>
      <w:r w:rsidRPr="002744EF">
        <w:t>no</w:t>
      </w:r>
      <w:proofErr w:type="gramEnd"/>
      <w:r w:rsidRPr="002744EF">
        <w:t xml:space="preserve"> </w:t>
      </w:r>
      <w:r>
        <w:t xml:space="preserve">260314 ; et </w:t>
      </w:r>
      <w:r w:rsidRPr="002744EF">
        <w:t xml:space="preserve">CE, 11 juillet 2001, </w:t>
      </w:r>
      <w:r w:rsidRPr="002744EF">
        <w:rPr>
          <w:i/>
          <w:iCs/>
        </w:rPr>
        <w:t>M. et Mme Iqbal</w:t>
      </w:r>
      <w:r w:rsidRPr="002744EF">
        <w:t xml:space="preserve">, </w:t>
      </w:r>
      <w:proofErr w:type="spellStart"/>
      <w:r w:rsidRPr="002744EF">
        <w:t>req</w:t>
      </w:r>
      <w:proofErr w:type="spellEnd"/>
      <w:r w:rsidRPr="002744EF">
        <w:t xml:space="preserve">. </w:t>
      </w:r>
      <w:proofErr w:type="gramStart"/>
      <w:r w:rsidRPr="002744EF">
        <w:t>no</w:t>
      </w:r>
      <w:proofErr w:type="gramEnd"/>
      <w:r w:rsidRPr="002744EF">
        <w:t xml:space="preserve"> </w:t>
      </w:r>
      <w:r>
        <w:t>206644.</w:t>
      </w:r>
    </w:p>
  </w:footnote>
  <w:footnote w:id="47">
    <w:p w14:paraId="1DEE833E" w14:textId="39C03C33" w:rsidR="008932FA" w:rsidRPr="00536D20" w:rsidRDefault="008932FA" w:rsidP="00634778">
      <w:pPr>
        <w:pStyle w:val="Notedebasdepage"/>
        <w:spacing w:after="0"/>
      </w:pPr>
      <w:r>
        <w:rPr>
          <w:rStyle w:val="Appelnotedebasdep"/>
        </w:rPr>
        <w:footnoteRef/>
      </w:r>
      <w:r>
        <w:t xml:space="preserve"> CJUE, 9 septembre 2015, </w:t>
      </w:r>
      <w:r w:rsidRPr="00536D20">
        <w:rPr>
          <w:i/>
        </w:rPr>
        <w:t xml:space="preserve">X. et T. A. van </w:t>
      </w:r>
      <w:proofErr w:type="spellStart"/>
      <w:r w:rsidRPr="00536D20">
        <w:rPr>
          <w:i/>
        </w:rPr>
        <w:t>Dijk</w:t>
      </w:r>
      <w:proofErr w:type="spellEnd"/>
      <w:r>
        <w:t>, Aff. C-72/14 et C-197/14.</w:t>
      </w:r>
    </w:p>
  </w:footnote>
  <w:footnote w:id="48">
    <w:p w14:paraId="2CC81FF1" w14:textId="50FCE90C" w:rsidR="008932FA" w:rsidRPr="007C3F79" w:rsidRDefault="008932FA" w:rsidP="00634778">
      <w:pPr>
        <w:pStyle w:val="Notedebasdepage"/>
        <w:spacing w:after="0"/>
      </w:pPr>
      <w:r>
        <w:rPr>
          <w:rStyle w:val="Appelnotedebasdep"/>
        </w:rPr>
        <w:footnoteRef/>
      </w:r>
      <w:r>
        <w:t xml:space="preserve"> CJUE, </w:t>
      </w:r>
      <w:r w:rsidRPr="007C3F79">
        <w:t xml:space="preserve">16 mai 2017, </w:t>
      </w:r>
      <w:r w:rsidRPr="007C3F79">
        <w:rPr>
          <w:i/>
          <w:iCs/>
        </w:rPr>
        <w:t xml:space="preserve">Berlioz </w:t>
      </w:r>
      <w:proofErr w:type="spellStart"/>
      <w:r w:rsidRPr="007C3F79">
        <w:rPr>
          <w:i/>
          <w:iCs/>
        </w:rPr>
        <w:t>Investlent</w:t>
      </w:r>
      <w:proofErr w:type="spellEnd"/>
      <w:r w:rsidRPr="007C3F79">
        <w:rPr>
          <w:i/>
          <w:iCs/>
        </w:rPr>
        <w:t xml:space="preserve"> </w:t>
      </w:r>
      <w:proofErr w:type="spellStart"/>
      <w:r w:rsidRPr="007C3F79">
        <w:rPr>
          <w:i/>
          <w:iCs/>
        </w:rPr>
        <w:t>Fund</w:t>
      </w:r>
      <w:proofErr w:type="spellEnd"/>
      <w:r w:rsidRPr="007C3F79">
        <w:rPr>
          <w:i/>
          <w:iCs/>
        </w:rPr>
        <w:t xml:space="preserve"> SA</w:t>
      </w:r>
      <w:r>
        <w:rPr>
          <w:iCs/>
        </w:rPr>
        <w:t>, Aff.</w:t>
      </w:r>
      <w:r>
        <w:t xml:space="preserve"> C-682/15.</w:t>
      </w:r>
    </w:p>
  </w:footnote>
  <w:footnote w:id="49">
    <w:p w14:paraId="01BCC304" w14:textId="6FCBE252" w:rsidR="008932FA" w:rsidRPr="00E70121" w:rsidRDefault="008932FA" w:rsidP="00634778">
      <w:pPr>
        <w:pStyle w:val="Notedebasdepage"/>
        <w:spacing w:after="0"/>
      </w:pPr>
      <w:r>
        <w:rPr>
          <w:rStyle w:val="Appelnotedebasdep"/>
        </w:rPr>
        <w:footnoteRef/>
      </w:r>
      <w:r>
        <w:t xml:space="preserve"> Voir par exemple : CJUE, 1</w:t>
      </w:r>
      <w:r w:rsidRPr="00E70121">
        <w:rPr>
          <w:vertAlign w:val="superscript"/>
        </w:rPr>
        <w:t>er</w:t>
      </w:r>
      <w:r>
        <w:t xml:space="preserve"> juillet 2010, </w:t>
      </w:r>
      <w:proofErr w:type="spellStart"/>
      <w:r w:rsidRPr="00E70121">
        <w:rPr>
          <w:i/>
        </w:rPr>
        <w:t>Povse</w:t>
      </w:r>
      <w:proofErr w:type="spellEnd"/>
      <w:r>
        <w:rPr>
          <w:i/>
        </w:rPr>
        <w:t xml:space="preserve"> c. </w:t>
      </w:r>
      <w:proofErr w:type="spellStart"/>
      <w:r>
        <w:rPr>
          <w:i/>
        </w:rPr>
        <w:t>Alpago</w:t>
      </w:r>
      <w:proofErr w:type="spellEnd"/>
      <w:r>
        <w:t>, Aff. C-211/10 PPU</w:t>
      </w:r>
      <w:r w:rsidRPr="00E70121">
        <w:t xml:space="preserve"> </w:t>
      </w:r>
      <w:r>
        <w:t>(face à une décision ordonnant le retour de l’enfant, l’</w:t>
      </w:r>
      <w:r w:rsidRPr="00E70121">
        <w:t>intérêt sup</w:t>
      </w:r>
      <w:r>
        <w:t>érieur</w:t>
      </w:r>
      <w:r w:rsidRPr="00E70121">
        <w:t xml:space="preserve"> de </w:t>
      </w:r>
      <w:r>
        <w:t>celui-ci</w:t>
      </w:r>
      <w:r w:rsidRPr="00E70121">
        <w:t xml:space="preserve"> </w:t>
      </w:r>
      <w:r>
        <w:t xml:space="preserve">ne peut être invoqué devant les juridictions de l’Etat d’exécution mais uniquement devant la juridiction compétente de l’Etat </w:t>
      </w:r>
      <w:r w:rsidRPr="00E70121">
        <w:t>origine)</w:t>
      </w:r>
      <w:r>
        <w:t xml:space="preserve"> ; CJUE, 22 décembre 2010, </w:t>
      </w:r>
      <w:r>
        <w:rPr>
          <w:i/>
        </w:rPr>
        <w:t xml:space="preserve">Aguirre </w:t>
      </w:r>
      <w:proofErr w:type="spellStart"/>
      <w:r>
        <w:rPr>
          <w:i/>
        </w:rPr>
        <w:t>Zarraga</w:t>
      </w:r>
      <w:proofErr w:type="spellEnd"/>
      <w:r>
        <w:rPr>
          <w:i/>
        </w:rPr>
        <w:t xml:space="preserve"> c. </w:t>
      </w:r>
      <w:proofErr w:type="spellStart"/>
      <w:r>
        <w:rPr>
          <w:i/>
        </w:rPr>
        <w:t>Pelz</w:t>
      </w:r>
      <w:proofErr w:type="spellEnd"/>
      <w:r>
        <w:t>,</w:t>
      </w:r>
      <w:r>
        <w:rPr>
          <w:i/>
        </w:rPr>
        <w:t xml:space="preserve"> </w:t>
      </w:r>
      <w:r>
        <w:t xml:space="preserve">Aff. C-491/10 </w:t>
      </w:r>
      <w:r w:rsidRPr="00E70121">
        <w:t>PPU (le certificat délivré par la juridiction de l</w:t>
      </w:r>
      <w:r>
        <w:t>’</w:t>
      </w:r>
      <w:r w:rsidRPr="00E70121">
        <w:t>Etat d</w:t>
      </w:r>
      <w:r>
        <w:t>’</w:t>
      </w:r>
      <w:r w:rsidRPr="00E70121">
        <w:t>origine, conformément à l</w:t>
      </w:r>
      <w:r>
        <w:t>’</w:t>
      </w:r>
      <w:r w:rsidRPr="00E70121">
        <w:t>article 42, ne peut être contesté que devant celle-ci, alors qu</w:t>
      </w:r>
      <w:r>
        <w:t>’</w:t>
      </w:r>
      <w:r w:rsidRPr="00E70121">
        <w:t>elle conditionne le caractère exécutoire de la décision dans l</w:t>
      </w:r>
      <w:r>
        <w:t>’</w:t>
      </w:r>
      <w:r w:rsidRPr="00E70121">
        <w:t>Etat requis)</w:t>
      </w:r>
      <w:r>
        <w:t>.</w:t>
      </w:r>
    </w:p>
  </w:footnote>
  <w:footnote w:id="50">
    <w:p w14:paraId="6F6B3772" w14:textId="42AF34E6" w:rsidR="008932FA" w:rsidRPr="007D463C" w:rsidRDefault="008932FA" w:rsidP="00634778">
      <w:pPr>
        <w:pStyle w:val="Notedebasdepage"/>
        <w:spacing w:after="0"/>
      </w:pPr>
      <w:r>
        <w:rPr>
          <w:rStyle w:val="Appelnotedebasdep"/>
        </w:rPr>
        <w:footnoteRef/>
      </w:r>
      <w:r>
        <w:t xml:space="preserve"> CJUE, 5 avril 2016, </w:t>
      </w:r>
      <w:proofErr w:type="spellStart"/>
      <w:r>
        <w:rPr>
          <w:i/>
        </w:rPr>
        <w:t>Aranyosi</w:t>
      </w:r>
      <w:proofErr w:type="spellEnd"/>
      <w:r>
        <w:rPr>
          <w:i/>
        </w:rPr>
        <w:t xml:space="preserve"> et </w:t>
      </w:r>
      <w:proofErr w:type="spellStart"/>
      <w:r w:rsidRPr="007D463C">
        <w:rPr>
          <w:i/>
        </w:rPr>
        <w:t>Căldăraru</w:t>
      </w:r>
      <w:proofErr w:type="spellEnd"/>
      <w:r>
        <w:t>, Aff. C-404/15 et C-659/15 PPU.</w:t>
      </w:r>
    </w:p>
  </w:footnote>
  <w:footnote w:id="51">
    <w:p w14:paraId="14D5D580" w14:textId="790646EF" w:rsidR="008932FA" w:rsidRPr="00FC1E05" w:rsidRDefault="008932FA" w:rsidP="00634778">
      <w:pPr>
        <w:pStyle w:val="Notedebasdepage"/>
        <w:spacing w:after="0"/>
      </w:pPr>
      <w:r>
        <w:rPr>
          <w:rStyle w:val="Appelnotedebasdep"/>
        </w:rPr>
        <w:footnoteRef/>
      </w:r>
      <w:r>
        <w:t xml:space="preserve"> CJUE, 25 mai 2016, </w:t>
      </w:r>
      <w:proofErr w:type="spellStart"/>
      <w:r>
        <w:rPr>
          <w:i/>
        </w:rPr>
        <w:t>Meroni</w:t>
      </w:r>
      <w:proofErr w:type="spellEnd"/>
      <w:r>
        <w:t>, Aff. C-559/14.</w:t>
      </w:r>
    </w:p>
  </w:footnote>
  <w:footnote w:id="52">
    <w:p w14:paraId="4C40F105" w14:textId="50278577" w:rsidR="008932FA" w:rsidRDefault="008932FA" w:rsidP="00634778">
      <w:pPr>
        <w:pStyle w:val="Notedebasdepage"/>
        <w:spacing w:after="0"/>
      </w:pPr>
      <w:r>
        <w:rPr>
          <w:rStyle w:val="Appelnotedebasdep"/>
        </w:rPr>
        <w:footnoteRef/>
      </w:r>
      <w:r>
        <w:t xml:space="preserve"> CJCE, 21 février 1991</w:t>
      </w:r>
      <w:r w:rsidRPr="00B82EBA">
        <w:t xml:space="preserve">, </w:t>
      </w:r>
      <w:proofErr w:type="spellStart"/>
      <w:r>
        <w:rPr>
          <w:i/>
        </w:rPr>
        <w:t>Zuckerfabrik</w:t>
      </w:r>
      <w:proofErr w:type="spellEnd"/>
      <w:r>
        <w:t>, Aff.</w:t>
      </w:r>
      <w:r w:rsidRPr="00B82EBA">
        <w:t xml:space="preserve"> C-143/88 et C-92/89</w:t>
      </w:r>
      <w:r>
        <w:t>.</w:t>
      </w:r>
    </w:p>
  </w:footnote>
  <w:footnote w:id="53">
    <w:p w14:paraId="19939952" w14:textId="7F876E89" w:rsidR="008932FA" w:rsidRPr="005B1399" w:rsidRDefault="008932FA" w:rsidP="00634778">
      <w:pPr>
        <w:pStyle w:val="Notedebasdepage"/>
        <w:spacing w:after="0"/>
      </w:pPr>
      <w:r>
        <w:rPr>
          <w:rStyle w:val="Appelnotedebasdep"/>
        </w:rPr>
        <w:footnoteRef/>
      </w:r>
      <w:r>
        <w:t xml:space="preserve"> La Cour de justice semble avoir cependant écarté la possibilité d’accorder la garde provisoire au parent résidant dans l’Etat membre d’accueil lorsqu’une juridiction s’est déjà prononcée sur la question dans l’Etat d’origine : CJUE, 23 décembre 2009, </w:t>
      </w:r>
      <w:proofErr w:type="spellStart"/>
      <w:r>
        <w:rPr>
          <w:i/>
        </w:rPr>
        <w:t>Deticek</w:t>
      </w:r>
      <w:proofErr w:type="spellEnd"/>
      <w:r>
        <w:rPr>
          <w:i/>
        </w:rPr>
        <w:t xml:space="preserve"> c. Maurizio</w:t>
      </w:r>
      <w:r>
        <w:t xml:space="preserve">, Aff. </w:t>
      </w:r>
      <w:r w:rsidRPr="005B1399">
        <w:t>C-403/09 PPU</w:t>
      </w:r>
    </w:p>
  </w:footnote>
  <w:footnote w:id="54">
    <w:p w14:paraId="012597D6" w14:textId="02143686" w:rsidR="008932FA" w:rsidRDefault="008932FA" w:rsidP="00634778">
      <w:pPr>
        <w:pStyle w:val="Notedebasdepage"/>
        <w:spacing w:after="0"/>
      </w:pPr>
      <w:r>
        <w:rPr>
          <w:rStyle w:val="Appelnotedebasdep"/>
        </w:rPr>
        <w:footnoteRef/>
      </w:r>
      <w:r>
        <w:t xml:space="preserve"> </w:t>
      </w:r>
      <w:r w:rsidRPr="009379C4">
        <w:rPr>
          <w:spacing w:val="-2"/>
        </w:rPr>
        <w:t>Il pourrait également être souhaitable de voir se concrétiser, et s</w:t>
      </w:r>
      <w:r>
        <w:rPr>
          <w:spacing w:val="-2"/>
        </w:rPr>
        <w:t>’</w:t>
      </w:r>
      <w:r w:rsidRPr="009379C4">
        <w:rPr>
          <w:spacing w:val="-2"/>
        </w:rPr>
        <w:t>étendre aux décisions de justice, la proposition du Professeur Marie Gautier</w:t>
      </w:r>
      <w:r w:rsidRPr="00B97B1B">
        <w:rPr>
          <w:spacing w:val="-2"/>
        </w:rPr>
        <w:t xml:space="preserve"> </w:t>
      </w:r>
      <w:r w:rsidRPr="009379C4">
        <w:rPr>
          <w:spacing w:val="-2"/>
        </w:rPr>
        <w:t xml:space="preserve">qui, dans son article précité, appelle de ses vœux la possibilité de procéder à </w:t>
      </w:r>
      <w:r>
        <w:rPr>
          <w:spacing w:val="-2"/>
        </w:rPr>
        <w:t>des</w:t>
      </w:r>
      <w:r w:rsidRPr="009379C4">
        <w:rPr>
          <w:spacing w:val="-2"/>
        </w:rPr>
        <w:t xml:space="preserve"> renvoi</w:t>
      </w:r>
      <w:r>
        <w:rPr>
          <w:spacing w:val="-2"/>
        </w:rPr>
        <w:t>s</w:t>
      </w:r>
      <w:r w:rsidRPr="009379C4">
        <w:rPr>
          <w:spacing w:val="-2"/>
        </w:rPr>
        <w:t xml:space="preserve"> préjudiciel</w:t>
      </w:r>
      <w:r>
        <w:rPr>
          <w:spacing w:val="-2"/>
        </w:rPr>
        <w:t>s</w:t>
      </w:r>
      <w:r w:rsidRPr="009379C4">
        <w:rPr>
          <w:spacing w:val="-2"/>
        </w:rPr>
        <w:t xml:space="preserve"> entre les juridictions nationales concernées</w:t>
      </w:r>
      <w:r>
        <w:rPr>
          <w:spacing w:val="-2"/>
        </w:rPr>
        <w:t xml:space="preserve"> par d</w:t>
      </w:r>
      <w:r w:rsidRPr="009379C4">
        <w:rPr>
          <w:spacing w:val="-2"/>
        </w:rPr>
        <w:t>es actes administratifs transnationaux.</w:t>
      </w:r>
    </w:p>
  </w:footnote>
  <w:footnote w:id="55">
    <w:p w14:paraId="12172358" w14:textId="2DA841BB" w:rsidR="008932FA" w:rsidRDefault="008932FA" w:rsidP="00634778">
      <w:pPr>
        <w:pStyle w:val="Notedebasdepage"/>
        <w:spacing w:after="0"/>
      </w:pPr>
      <w:r>
        <w:rPr>
          <w:rStyle w:val="Appelnotedebasdep"/>
        </w:rPr>
        <w:footnoteRef/>
      </w:r>
      <w:r>
        <w:t xml:space="preserve"> Si selon l’article 3, §2 TUE</w:t>
      </w:r>
      <w:r w:rsidRPr="00A24887">
        <w:t xml:space="preserve"> « l</w:t>
      </w:r>
      <w:r>
        <w:t>’</w:t>
      </w:r>
      <w:r w:rsidRPr="00A24887">
        <w:t>Union </w:t>
      </w:r>
      <w:r w:rsidRPr="00A24887">
        <w:rPr>
          <w:i/>
        </w:rPr>
        <w:t>offre à ses citoyens</w:t>
      </w:r>
      <w:r w:rsidRPr="00A24887">
        <w:t xml:space="preserve"> un espace de liberté, de sécurité et de justice sans frontières intérieures, au sein duquel est assurée la libre circulation des personnes », la présentation de cet espace par les articles 67 et suivants du TFUE privilégie une approche holiste de la coopération dans laquelle le terme de citoyen ne figure plus.</w:t>
      </w:r>
    </w:p>
  </w:footnote>
  <w:footnote w:id="56">
    <w:p w14:paraId="2F913DF3" w14:textId="6A879B57" w:rsidR="008932FA" w:rsidRPr="00562306" w:rsidRDefault="008932FA" w:rsidP="00634778">
      <w:pPr>
        <w:pStyle w:val="Notedebasdepage"/>
        <w:spacing w:after="0"/>
        <w:rPr>
          <w:lang w:val="en-US"/>
        </w:rPr>
      </w:pPr>
      <w:r>
        <w:rPr>
          <w:rStyle w:val="Appelnotedebasdep"/>
        </w:rPr>
        <w:footnoteRef/>
      </w:r>
      <w:r w:rsidRPr="00AB5E4B">
        <w:rPr>
          <w:lang w:val="en-US"/>
        </w:rPr>
        <w:t xml:space="preserve"> V. </w:t>
      </w:r>
      <w:proofErr w:type="spellStart"/>
      <w:r w:rsidRPr="00AB5E4B">
        <w:rPr>
          <w:lang w:val="en-US"/>
        </w:rPr>
        <w:t>Mitsilegas</w:t>
      </w:r>
      <w:proofErr w:type="spellEnd"/>
      <w:r w:rsidRPr="00AB5E4B">
        <w:rPr>
          <w:lang w:val="en-US"/>
        </w:rPr>
        <w:t xml:space="preserve">, </w:t>
      </w:r>
      <w:r w:rsidRPr="007D346F">
        <w:rPr>
          <w:i/>
          <w:lang w:val="en-US"/>
        </w:rPr>
        <w:t>op.</w:t>
      </w:r>
      <w:r w:rsidRPr="00AB5E4B">
        <w:rPr>
          <w:i/>
          <w:lang w:val="en-US"/>
        </w:rPr>
        <w:t xml:space="preserve"> cit.</w:t>
      </w:r>
      <w:r w:rsidRPr="00AB5E4B">
        <w:rPr>
          <w:lang w:val="en-US"/>
        </w:rPr>
        <w:t xml:space="preserve">, p. </w:t>
      </w:r>
      <w:proofErr w:type="gramStart"/>
      <w:r w:rsidRPr="00AB5E4B">
        <w:rPr>
          <w:lang w:val="en-US"/>
        </w:rPr>
        <w:t>319 </w:t>
      </w:r>
      <w:r w:rsidRPr="00562306">
        <w:rPr>
          <w:lang w:val="en-US"/>
        </w:rPr>
        <w:t>:</w:t>
      </w:r>
      <w:proofErr w:type="gramEnd"/>
      <w:r w:rsidRPr="00562306">
        <w:rPr>
          <w:lang w:val="en-US"/>
        </w:rPr>
        <w:t xml:space="preserve"> </w:t>
      </w:r>
      <w:r w:rsidRPr="00562306">
        <w:rPr>
          <w:spacing w:val="-2"/>
          <w:lang w:val="en-US"/>
        </w:rPr>
        <w:t>« European integration has moved […] by efforts to enhance inter-state cooperation with the aim of strengthening the enforcement capacity of Member States. The facilitation and speeding up of inter-state cooperation can be seen as compensatory to the abolition of internal border controls ».</w:t>
      </w:r>
    </w:p>
  </w:footnote>
  <w:footnote w:id="57">
    <w:p w14:paraId="33E43C07" w14:textId="15D705A1" w:rsidR="008932FA" w:rsidRPr="00D51ACA" w:rsidRDefault="008932FA" w:rsidP="00634778">
      <w:pPr>
        <w:pStyle w:val="Notedebasdepage"/>
        <w:spacing w:after="0"/>
      </w:pPr>
      <w:r>
        <w:rPr>
          <w:rStyle w:val="Appelnotedebasdep"/>
        </w:rPr>
        <w:footnoteRef/>
      </w:r>
      <w:r w:rsidRPr="00737334">
        <w:t xml:space="preserve"> </w:t>
      </w:r>
      <w:r w:rsidRPr="00737334">
        <w:rPr>
          <w:i/>
        </w:rPr>
        <w:t>Id</w:t>
      </w:r>
      <w:r>
        <w:rPr>
          <w:i/>
        </w:rPr>
        <w:t> </w:t>
      </w:r>
      <w:r>
        <w:t xml:space="preserve">; et </w:t>
      </w:r>
      <w:r w:rsidRPr="00AD3846">
        <w:t xml:space="preserve">dans le même sens, H. </w:t>
      </w:r>
      <w:proofErr w:type="spellStart"/>
      <w:r w:rsidRPr="00AD3846">
        <w:t>Labayle</w:t>
      </w:r>
      <w:proofErr w:type="spellEnd"/>
      <w:r w:rsidRPr="00AD3846">
        <w:t xml:space="preserve">, </w:t>
      </w:r>
      <w:r>
        <w:t xml:space="preserve">« Refonder l’espace de liberté, de sécurité et de justice à la lumière de l’arrêt </w:t>
      </w:r>
      <w:r w:rsidRPr="008C7E4D">
        <w:rPr>
          <w:i/>
        </w:rPr>
        <w:t>Van Gend en Loos</w:t>
      </w:r>
      <w:r>
        <w:t xml:space="preserve"> ? », in A. </w:t>
      </w:r>
      <w:proofErr w:type="spellStart"/>
      <w:r>
        <w:t>Tizzano</w:t>
      </w:r>
      <w:proofErr w:type="spellEnd"/>
      <w:r>
        <w:t xml:space="preserve">, J. Kokott, S. </w:t>
      </w:r>
      <w:proofErr w:type="spellStart"/>
      <w:r>
        <w:t>Prechal</w:t>
      </w:r>
      <w:proofErr w:type="spellEnd"/>
      <w:r>
        <w:t xml:space="preserve"> (dir.), </w:t>
      </w:r>
      <w:r>
        <w:rPr>
          <w:i/>
        </w:rPr>
        <w:t>50</w:t>
      </w:r>
      <w:r w:rsidRPr="008C7E4D">
        <w:rPr>
          <w:i/>
          <w:vertAlign w:val="superscript"/>
        </w:rPr>
        <w:t>ème</w:t>
      </w:r>
      <w:r>
        <w:rPr>
          <w:i/>
        </w:rPr>
        <w:t xml:space="preserve"> anniversaire de l’arrêt Van Gend en Loos. 1963-2013</w:t>
      </w:r>
      <w:r>
        <w:t>, Luxembourg, Office des publications de l’Union européenne, 2013, p. 199.</w:t>
      </w:r>
    </w:p>
    <w:p w14:paraId="20C8957E" w14:textId="52F87089" w:rsidR="008932FA" w:rsidRPr="00805F38" w:rsidRDefault="008932FA" w:rsidP="00634778">
      <w:pPr>
        <w:pStyle w:val="Notedebasdepage"/>
        <w:spacing w:after="0"/>
      </w:pPr>
      <w:r>
        <w:t xml:space="preserve">La compréhension de la coopération pénale à travers le prisme de l’intérêt étatique est ainsi de nature à expliquer que la Cour de justice soit plus respectueuse du lien de nationalité qui peut lier l’Etat requis et la personne visée par un mandat d’arrêt européen, que soucieuse d’assurer la protection des droits fondamentaux de cette dernière (voir en ce sens : V. </w:t>
      </w:r>
      <w:proofErr w:type="spellStart"/>
      <w:r w:rsidRPr="00D51ACA">
        <w:t>Mitsilegas</w:t>
      </w:r>
      <w:proofErr w:type="spellEnd"/>
      <w:r>
        <w:t xml:space="preserve">, </w:t>
      </w:r>
      <w:r>
        <w:rPr>
          <w:i/>
        </w:rPr>
        <w:t xml:space="preserve">op. </w:t>
      </w:r>
      <w:proofErr w:type="gramStart"/>
      <w:r>
        <w:rPr>
          <w:i/>
        </w:rPr>
        <w:t>cit</w:t>
      </w:r>
      <w:proofErr w:type="gramEnd"/>
      <w:r>
        <w:rPr>
          <w:i/>
        </w:rPr>
        <w:t>.</w:t>
      </w:r>
      <w:r>
        <w:t xml:space="preserve">, p. 336 et 338-344 ; </w:t>
      </w:r>
      <w:r w:rsidRPr="006F55F1">
        <w:t xml:space="preserve">G. </w:t>
      </w:r>
      <w:proofErr w:type="spellStart"/>
      <w:r w:rsidRPr="006F55F1">
        <w:t>Vernimmen</w:t>
      </w:r>
      <w:proofErr w:type="spellEnd"/>
      <w:r w:rsidRPr="006F55F1">
        <w:t xml:space="preserve">-Van </w:t>
      </w:r>
      <w:proofErr w:type="spellStart"/>
      <w:r w:rsidRPr="006F55F1">
        <w:t>Tiggelen</w:t>
      </w:r>
      <w:proofErr w:type="spellEnd"/>
      <w:r w:rsidRPr="006F55F1">
        <w:t xml:space="preserve"> et L. </w:t>
      </w:r>
      <w:proofErr w:type="spellStart"/>
      <w:r w:rsidRPr="006F55F1">
        <w:t>Surano</w:t>
      </w:r>
      <w:proofErr w:type="spellEnd"/>
      <w:r w:rsidRPr="006F55F1">
        <w:t>, « Analyse de l</w:t>
      </w:r>
      <w:r>
        <w:t>’</w:t>
      </w:r>
      <w:r w:rsidRPr="006F55F1">
        <w:t>avenir de la reconnaissance mutuelle en matière pénale dans l</w:t>
      </w:r>
      <w:r>
        <w:t>’</w:t>
      </w:r>
      <w:r w:rsidRPr="006F55F1">
        <w:t>Union européenne », Institut d</w:t>
      </w:r>
      <w:r>
        <w:t>’</w:t>
      </w:r>
      <w:r w:rsidRPr="006F55F1">
        <w:t>Etudes européennes, Université libre de Bruxelles, 2008,</w:t>
      </w:r>
      <w:r>
        <w:t xml:space="preserve"> p. 15).</w:t>
      </w:r>
    </w:p>
  </w:footnote>
  <w:footnote w:id="58">
    <w:p w14:paraId="31D516C4" w14:textId="2E3E1CCA" w:rsidR="008932FA" w:rsidRPr="00A31C28" w:rsidRDefault="008932FA" w:rsidP="0017212D">
      <w:pPr>
        <w:pStyle w:val="Notedebasdepage"/>
        <w:spacing w:after="0"/>
      </w:pPr>
      <w:r>
        <w:rPr>
          <w:rStyle w:val="Appelnotedebasdep"/>
        </w:rPr>
        <w:footnoteRef/>
      </w:r>
      <w:r>
        <w:t xml:space="preserve"> J.-S. Bergé, </w:t>
      </w:r>
      <w:r>
        <w:rPr>
          <w:i/>
        </w:rPr>
        <w:t>L’application du droit national, international et européen</w:t>
      </w:r>
      <w:r>
        <w:t xml:space="preserve">, Paris, Dalloz, 2013, p. 169 et 189. La Cour de justice reconnaît, par exemple, que la confiance mutuelle implique pour les Etats de renoncer « à leurs règles internes de reconnaissance et </w:t>
      </w:r>
      <w:r w:rsidRPr="00D24BE0">
        <w:rPr>
          <w:i/>
        </w:rPr>
        <w:t>d</w:t>
      </w:r>
      <w:r>
        <w:rPr>
          <w:i/>
        </w:rPr>
        <w:t>’</w:t>
      </w:r>
      <w:r w:rsidRPr="00D24BE0">
        <w:rPr>
          <w:i/>
        </w:rPr>
        <w:t>exequatur</w:t>
      </w:r>
      <w:r>
        <w:t xml:space="preserve"> au profit d’un mécanisme simplifié de reconnaissance et d’exécution des décisions rendues dans le cadre de procédures en matière de responsabilité parentale » (CJUE, 15 juillet 2010, </w:t>
      </w:r>
      <w:proofErr w:type="spellStart"/>
      <w:r w:rsidRPr="00D24BE0">
        <w:rPr>
          <w:i/>
        </w:rPr>
        <w:t>Purrucker</w:t>
      </w:r>
      <w:proofErr w:type="spellEnd"/>
      <w:r>
        <w:t xml:space="preserve">, Aff. </w:t>
      </w:r>
      <w:r w:rsidRPr="00A31C28">
        <w:t xml:space="preserve">C-256/09, pt. 72). Voir pour d’autres illustrations des effets de la reconnaissance mutuelle, G. </w:t>
      </w:r>
      <w:proofErr w:type="spellStart"/>
      <w:r w:rsidRPr="00A31C28">
        <w:t>della</w:t>
      </w:r>
      <w:proofErr w:type="spellEnd"/>
      <w:r w:rsidRPr="00A31C28">
        <w:t xml:space="preserve"> </w:t>
      </w:r>
      <w:proofErr w:type="spellStart"/>
      <w:r w:rsidRPr="00A31C28">
        <w:t>Cananea</w:t>
      </w:r>
      <w:proofErr w:type="spellEnd"/>
      <w:r w:rsidRPr="00A31C28">
        <w:t>, « </w:t>
      </w:r>
      <w:proofErr w:type="spellStart"/>
      <w:r w:rsidRPr="00A31C28">
        <w:t>From</w:t>
      </w:r>
      <w:proofErr w:type="spellEnd"/>
      <w:r w:rsidRPr="00A31C28">
        <w:t xml:space="preserve"> the Recognition of </w:t>
      </w:r>
      <w:proofErr w:type="spellStart"/>
      <w:r w:rsidRPr="00A31C28">
        <w:t>Foreign</w:t>
      </w:r>
      <w:proofErr w:type="spellEnd"/>
      <w:r w:rsidRPr="00A31C28">
        <w:t xml:space="preserve"> </w:t>
      </w:r>
      <w:proofErr w:type="spellStart"/>
      <w:r w:rsidRPr="00A31C28">
        <w:t>Acts</w:t>
      </w:r>
      <w:proofErr w:type="spellEnd"/>
      <w:r w:rsidRPr="00A31C28">
        <w:t xml:space="preserve"> to </w:t>
      </w:r>
      <w:proofErr w:type="spellStart"/>
      <w:r w:rsidRPr="00A31C28">
        <w:t>Trans-national</w:t>
      </w:r>
      <w:proofErr w:type="spellEnd"/>
      <w:r w:rsidRPr="00A31C28">
        <w:t xml:space="preserve"> Administrative </w:t>
      </w:r>
      <w:proofErr w:type="spellStart"/>
      <w:r w:rsidRPr="00A31C28">
        <w:t>Procedures</w:t>
      </w:r>
      <w:proofErr w:type="spellEnd"/>
      <w:r w:rsidRPr="00A31C28">
        <w:t xml:space="preserve"> », in </w:t>
      </w:r>
      <w:r w:rsidRPr="00A31C28">
        <w:rPr>
          <w:i/>
        </w:rPr>
        <w:t xml:space="preserve">Recognition of </w:t>
      </w:r>
      <w:proofErr w:type="spellStart"/>
      <w:r w:rsidRPr="00A31C28">
        <w:rPr>
          <w:i/>
        </w:rPr>
        <w:t>Foreign</w:t>
      </w:r>
      <w:proofErr w:type="spellEnd"/>
      <w:r w:rsidRPr="00A31C28">
        <w:rPr>
          <w:i/>
        </w:rPr>
        <w:t xml:space="preserve"> Administrative </w:t>
      </w:r>
      <w:proofErr w:type="spellStart"/>
      <w:r w:rsidRPr="00A31C28">
        <w:rPr>
          <w:i/>
        </w:rPr>
        <w:t>Acts</w:t>
      </w:r>
      <w:proofErr w:type="spellEnd"/>
      <w:r w:rsidRPr="00A31C28">
        <w:t xml:space="preserve">, </w:t>
      </w:r>
      <w:r w:rsidRPr="00A31C28">
        <w:rPr>
          <w:i/>
        </w:rPr>
        <w:t xml:space="preserve">op. </w:t>
      </w:r>
      <w:proofErr w:type="gramStart"/>
      <w:r w:rsidRPr="00A31C28">
        <w:rPr>
          <w:i/>
        </w:rPr>
        <w:t>cit</w:t>
      </w:r>
      <w:proofErr w:type="gramEnd"/>
      <w:r w:rsidRPr="00A31C28">
        <w:rPr>
          <w:i/>
        </w:rPr>
        <w:t>.</w:t>
      </w:r>
      <w:r w:rsidRPr="00A31C28">
        <w:t>, p. 234 et s.</w:t>
      </w:r>
    </w:p>
  </w:footnote>
  <w:footnote w:id="59">
    <w:p w14:paraId="4BCDC7D6" w14:textId="6A7C6313" w:rsidR="008932FA" w:rsidRPr="0017212D" w:rsidRDefault="008932FA" w:rsidP="00634778">
      <w:pPr>
        <w:pStyle w:val="Notedebasdepage"/>
        <w:spacing w:after="0"/>
        <w:rPr>
          <w:lang w:val="en-US"/>
        </w:rPr>
      </w:pPr>
      <w:r>
        <w:rPr>
          <w:rStyle w:val="Appelnotedebasdep"/>
        </w:rPr>
        <w:footnoteRef/>
      </w:r>
      <w:r w:rsidRPr="0017212D">
        <w:rPr>
          <w:lang w:val="en-US"/>
        </w:rPr>
        <w:t xml:space="preserve"> V. </w:t>
      </w:r>
      <w:proofErr w:type="spellStart"/>
      <w:r w:rsidRPr="0017212D">
        <w:rPr>
          <w:lang w:val="en-US"/>
        </w:rPr>
        <w:t>Mitsilegas</w:t>
      </w:r>
      <w:proofErr w:type="spellEnd"/>
      <w:r w:rsidRPr="0017212D">
        <w:rPr>
          <w:lang w:val="en-US"/>
        </w:rPr>
        <w:t xml:space="preserve">, </w:t>
      </w:r>
      <w:r w:rsidRPr="0017212D">
        <w:rPr>
          <w:i/>
          <w:lang w:val="en-US"/>
        </w:rPr>
        <w:t>op. cit.</w:t>
      </w:r>
      <w:r w:rsidRPr="0017212D">
        <w:rPr>
          <w:lang w:val="en-US"/>
        </w:rPr>
        <w:t>, p. 336</w:t>
      </w:r>
      <w:r w:rsidRPr="0017212D">
        <w:rPr>
          <w:i/>
          <w:lang w:val="en-US"/>
        </w:rPr>
        <w:t xml:space="preserve">. </w:t>
      </w:r>
    </w:p>
  </w:footnote>
  <w:footnote w:id="60">
    <w:p w14:paraId="307848B7" w14:textId="767EB881" w:rsidR="008932FA" w:rsidRPr="0092341B" w:rsidRDefault="008932FA" w:rsidP="00634778">
      <w:pPr>
        <w:pStyle w:val="Notedebasdepage"/>
        <w:spacing w:after="0"/>
      </w:pPr>
      <w:r w:rsidRPr="00F7712D">
        <w:rPr>
          <w:rStyle w:val="Appelnotedebasdep"/>
        </w:rPr>
        <w:footnoteRef/>
      </w:r>
      <w:r w:rsidRPr="00F7712D">
        <w:t xml:space="preserve"> Au-delà bien sûr de la suppression de l’</w:t>
      </w:r>
      <w:r w:rsidRPr="00F7712D">
        <w:rPr>
          <w:i/>
        </w:rPr>
        <w:t>exequatur</w:t>
      </w:r>
      <w:r w:rsidRPr="00F7712D">
        <w:t xml:space="preserve"> dans le domaine civil de la coopération judiciaire, on peut penser, par exemple, que la faculté de s’opposer à l’exécution d’un mandat d’arrêt européen délivré aux fins d’exécution d’une peine ou d’une mesure de sûreté privatives de liberté, émis à l’encontre d’un ressortissant ou d’une personne résidant sur le territoire d’un Etat qui s’engage à exécuter la peine conformément à son propre droit (article 4, §6, directive-cadre 2002/584) est une forme de reconnaissance mutuelle s’exerçant à l’encontre </w:t>
      </w:r>
      <w:r w:rsidRPr="00E14C52">
        <w:rPr>
          <w:spacing w:val="-2"/>
        </w:rPr>
        <w:t xml:space="preserve">de l’Etat d’émission cette fois-ci, et fondée par l’intérêt subjectif de la personne supposée avoir ainsi de meilleures chances de réintégration (voir toutefois CJUE, 6 octobre 2009, </w:t>
      </w:r>
      <w:proofErr w:type="spellStart"/>
      <w:r w:rsidRPr="00E14C52">
        <w:rPr>
          <w:i/>
          <w:spacing w:val="-2"/>
        </w:rPr>
        <w:t>Wolzenburg</w:t>
      </w:r>
      <w:proofErr w:type="spellEnd"/>
      <w:r w:rsidRPr="00E14C52">
        <w:rPr>
          <w:spacing w:val="-2"/>
        </w:rPr>
        <w:t>, Aff. C-123/08, pt. 58-59).</w:t>
      </w:r>
    </w:p>
  </w:footnote>
  <w:footnote w:id="61">
    <w:p w14:paraId="54CA930B" w14:textId="741CADA7" w:rsidR="008932FA" w:rsidRPr="003870A1" w:rsidRDefault="008932FA" w:rsidP="00634778">
      <w:pPr>
        <w:pStyle w:val="Notedebasdepage"/>
        <w:spacing w:after="0"/>
      </w:pPr>
      <w:r>
        <w:rPr>
          <w:rStyle w:val="Appelnotedebasdep"/>
        </w:rPr>
        <w:footnoteRef/>
      </w:r>
      <w:r>
        <w:t xml:space="preserve"> </w:t>
      </w:r>
      <w:r>
        <w:rPr>
          <w:i/>
        </w:rPr>
        <w:t>Ibid.</w:t>
      </w:r>
      <w:r>
        <w:t xml:space="preserve">, p. 320. </w:t>
      </w:r>
    </w:p>
  </w:footnote>
  <w:footnote w:id="62">
    <w:p w14:paraId="10E7CB4A" w14:textId="0B3EDA54" w:rsidR="008932FA" w:rsidRDefault="008932FA" w:rsidP="00634778">
      <w:pPr>
        <w:pStyle w:val="Notedebasdepage"/>
        <w:spacing w:after="0"/>
      </w:pPr>
      <w:r>
        <w:rPr>
          <w:rStyle w:val="Appelnotedebasdep"/>
        </w:rPr>
        <w:footnoteRef/>
      </w:r>
      <w:r>
        <w:t xml:space="preserve"> Voir infra, §II.</w:t>
      </w:r>
    </w:p>
  </w:footnote>
  <w:footnote w:id="63">
    <w:p w14:paraId="078D6A8B" w14:textId="0863D105" w:rsidR="008932FA" w:rsidRPr="00E5586E" w:rsidRDefault="008932FA" w:rsidP="00634778">
      <w:pPr>
        <w:pStyle w:val="Notedebasdepage"/>
        <w:spacing w:after="0"/>
      </w:pPr>
      <w:r>
        <w:rPr>
          <w:rStyle w:val="Appelnotedebasdep"/>
        </w:rPr>
        <w:footnoteRef/>
      </w:r>
      <w:r>
        <w:t xml:space="preserve"> Si la confiance mutuelle </w:t>
      </w:r>
      <w:r w:rsidRPr="00C47CAC">
        <w:t xml:space="preserve">est une « notion floue » susceptible de différentes lectures (R. </w:t>
      </w:r>
      <w:proofErr w:type="spellStart"/>
      <w:r w:rsidRPr="00C47CAC">
        <w:t>Tinière</w:t>
      </w:r>
      <w:proofErr w:type="spellEnd"/>
      <w:r w:rsidRPr="00C47CAC">
        <w:t>, « Confiance mutuelle et droits fondamentaux dans l</w:t>
      </w:r>
      <w:r>
        <w:t>’</w:t>
      </w:r>
      <w:r w:rsidRPr="00C47CAC">
        <w:t xml:space="preserve">Union européenne », </w:t>
      </w:r>
      <w:r>
        <w:rPr>
          <w:i/>
        </w:rPr>
        <w:t xml:space="preserve">Mélanges </w:t>
      </w:r>
      <w:proofErr w:type="spellStart"/>
      <w:r>
        <w:rPr>
          <w:i/>
        </w:rPr>
        <w:t>Oberdorff</w:t>
      </w:r>
      <w:proofErr w:type="spellEnd"/>
      <w:r>
        <w:t>,</w:t>
      </w:r>
      <w:r w:rsidRPr="00C47CAC">
        <w:t xml:space="preserve"> p. 73)</w:t>
      </w:r>
      <w:r>
        <w:t>, elle entretient avec la reconnaissance mutuelle</w:t>
      </w:r>
      <w:r w:rsidRPr="003C241D">
        <w:t xml:space="preserve"> </w:t>
      </w:r>
      <w:r>
        <w:t>des liens d’interdépendance évidents – au-delà de leur proximité syntaxique et parfois de leur apparente interchangeabilité dans la rédaction des arrêts – aussi bien dans leur conceptualisation que dans leur pratique (voir en ce sens, B. </w:t>
      </w:r>
      <w:proofErr w:type="spellStart"/>
      <w:r>
        <w:t>Nascimbene</w:t>
      </w:r>
      <w:proofErr w:type="spellEnd"/>
      <w:r>
        <w:t>, « Le </w:t>
      </w:r>
      <w:r w:rsidRPr="00B526DE">
        <w:t>traité de Lisbonne et l</w:t>
      </w:r>
      <w:r>
        <w:t>’espace judiciaire européen : le </w:t>
      </w:r>
      <w:r w:rsidRPr="00B526DE">
        <w:t xml:space="preserve">principe de confiance réciproque et de reconnaissance mutuelle », </w:t>
      </w:r>
      <w:r w:rsidRPr="00B526DE">
        <w:rPr>
          <w:i/>
        </w:rPr>
        <w:t>RAE</w:t>
      </w:r>
      <w:r w:rsidRPr="00B526DE">
        <w:t>, 2011, n°4, p. 790</w:t>
      </w:r>
      <w:r>
        <w:t>).</w:t>
      </w:r>
    </w:p>
  </w:footnote>
  <w:footnote w:id="64">
    <w:p w14:paraId="301F4472" w14:textId="193F202C" w:rsidR="008932FA" w:rsidRPr="002A36E4" w:rsidRDefault="008932FA" w:rsidP="00634778">
      <w:pPr>
        <w:pStyle w:val="Notedebasdepage"/>
        <w:spacing w:after="0"/>
      </w:pPr>
      <w:r>
        <w:rPr>
          <w:rStyle w:val="Appelnotedebasdep"/>
        </w:rPr>
        <w:footnoteRef/>
      </w:r>
      <w:r w:rsidRPr="003F61AD">
        <w:t xml:space="preserve"> </w:t>
      </w:r>
      <w:r>
        <w:t xml:space="preserve">CJUE, 18 décembre 2014, </w:t>
      </w:r>
      <w:r>
        <w:rPr>
          <w:i/>
        </w:rPr>
        <w:t xml:space="preserve">Projet d’accord d’adhésion à la </w:t>
      </w:r>
      <w:r w:rsidRPr="00D314F6">
        <w:rPr>
          <w:i/>
        </w:rPr>
        <w:t>CEDH</w:t>
      </w:r>
      <w:r>
        <w:t xml:space="preserve">, </w:t>
      </w:r>
      <w:r w:rsidRPr="003F61AD">
        <w:t>pt. 167.</w:t>
      </w:r>
      <w:r>
        <w:t xml:space="preserve"> </w:t>
      </w:r>
      <w:r w:rsidRPr="002A36E4">
        <w:t>Cette présentation des caractères du système juridique pourrait, en l’amendant quelque peu, tout aussi bien être reprise à propos du principe de reconnaissance mutuelle. Celui-ci semble en effet avoir « donné lieu à un réseau structuré de principes, de règles [et d’exceptions] et de relations juridiques mutuellement interdépendantes liant, réciproquement, l’Union elle-même et ses États membres, ainsi que ceux-ci entre eux ».</w:t>
      </w:r>
    </w:p>
  </w:footnote>
  <w:footnote w:id="65">
    <w:p w14:paraId="04AB2109" w14:textId="124449A7" w:rsidR="008932FA" w:rsidRDefault="008932FA" w:rsidP="00634778">
      <w:pPr>
        <w:pStyle w:val="Notedebasdepage"/>
        <w:spacing w:after="0"/>
      </w:pPr>
      <w:r>
        <w:rPr>
          <w:rStyle w:val="Appelnotedebasdep"/>
        </w:rPr>
        <w:footnoteRef/>
      </w:r>
      <w:r>
        <w:t xml:space="preserve"> La confiance mutuelle introduite dans le droit positif par la jurisprudence </w:t>
      </w:r>
      <w:proofErr w:type="spellStart"/>
      <w:r>
        <w:rPr>
          <w:i/>
        </w:rPr>
        <w:t>Götuzök</w:t>
      </w:r>
      <w:proofErr w:type="spellEnd"/>
      <w:r>
        <w:rPr>
          <w:i/>
        </w:rPr>
        <w:t xml:space="preserve"> </w:t>
      </w:r>
      <w:proofErr w:type="spellStart"/>
      <w:r>
        <w:t>préc</w:t>
      </w:r>
      <w:proofErr w:type="spellEnd"/>
      <w:r>
        <w:t xml:space="preserve">. </w:t>
      </w:r>
      <w:proofErr w:type="gramStart"/>
      <w:r>
        <w:t>devait</w:t>
      </w:r>
      <w:proofErr w:type="gramEnd"/>
      <w:r>
        <w:t xml:space="preserve"> être consacrée explicitement par l’article I-42 du TECE (Voir pour un commentaire : H. </w:t>
      </w:r>
      <w:proofErr w:type="spellStart"/>
      <w:r>
        <w:t>Labayle</w:t>
      </w:r>
      <w:proofErr w:type="spellEnd"/>
      <w:r>
        <w:t>, « Article I-42 », in L. </w:t>
      </w:r>
      <w:proofErr w:type="spellStart"/>
      <w:r>
        <w:t>Burgogue</w:t>
      </w:r>
      <w:proofErr w:type="spellEnd"/>
      <w:r>
        <w:t xml:space="preserve">-Larsen, A. </w:t>
      </w:r>
      <w:proofErr w:type="spellStart"/>
      <w:r>
        <w:t>Levade</w:t>
      </w:r>
      <w:proofErr w:type="spellEnd"/>
      <w:r>
        <w:t xml:space="preserve">, F. </w:t>
      </w:r>
      <w:proofErr w:type="spellStart"/>
      <w:r>
        <w:t>Picod</w:t>
      </w:r>
      <w:proofErr w:type="spellEnd"/>
      <w:r>
        <w:t xml:space="preserve"> (dir.),</w:t>
      </w:r>
      <w:r w:rsidRPr="00AC031D">
        <w:rPr>
          <w:i/>
        </w:rPr>
        <w:t>Traité</w:t>
      </w:r>
      <w:r>
        <w:t xml:space="preserve"> </w:t>
      </w:r>
      <w:r>
        <w:rPr>
          <w:i/>
        </w:rPr>
        <w:t>établissant une Constitution pour L’Europe. Commentaire article par article</w:t>
      </w:r>
      <w:r>
        <w:t xml:space="preserve">, Bruxelles, Bruylant, 2007, Tome I, p. 544). Face au silence des dispositions issues du Traité de Lisbonne, c’est cependant à travers l’avis 2/13 (spé. </w:t>
      </w:r>
      <w:r w:rsidRPr="00D314F6">
        <w:t>pt</w:t>
      </w:r>
      <w:r>
        <w:t>. 168 et 191) que s’opère sa constitutionnalisation.</w:t>
      </w:r>
    </w:p>
  </w:footnote>
  <w:footnote w:id="66">
    <w:p w14:paraId="5FC72303" w14:textId="1D95B24E" w:rsidR="008932FA" w:rsidRPr="00D95E57" w:rsidRDefault="008932FA" w:rsidP="00634778">
      <w:pPr>
        <w:pStyle w:val="Notedebasdepage"/>
        <w:spacing w:after="0"/>
      </w:pPr>
      <w:r>
        <w:rPr>
          <w:rStyle w:val="Appelnotedebasdep"/>
        </w:rPr>
        <w:footnoteRef/>
      </w:r>
      <w:r w:rsidRPr="00B474FB">
        <w:t xml:space="preserve"> Ai</w:t>
      </w:r>
      <w:r>
        <w:t xml:space="preserve">nsi, selon la formule consacrée par l’arrêt </w:t>
      </w:r>
      <w:proofErr w:type="spellStart"/>
      <w:r>
        <w:rPr>
          <w:i/>
        </w:rPr>
        <w:t>Aranyosi</w:t>
      </w:r>
      <w:proofErr w:type="spellEnd"/>
      <w:r>
        <w:rPr>
          <w:i/>
        </w:rPr>
        <w:t xml:space="preserve"> et </w:t>
      </w:r>
      <w:proofErr w:type="spellStart"/>
      <w:r w:rsidRPr="007D463C">
        <w:rPr>
          <w:i/>
        </w:rPr>
        <w:t>Căldăraru</w:t>
      </w:r>
      <w:proofErr w:type="spellEnd"/>
      <w:r>
        <w:t xml:space="preserve"> </w:t>
      </w:r>
      <w:proofErr w:type="spellStart"/>
      <w:r>
        <w:t>préc</w:t>
      </w:r>
      <w:proofErr w:type="spellEnd"/>
      <w:r>
        <w:t>. (</w:t>
      </w:r>
      <w:proofErr w:type="gramStart"/>
      <w:r>
        <w:t>pt</w:t>
      </w:r>
      <w:proofErr w:type="gramEnd"/>
      <w:r>
        <w:t xml:space="preserve">. 78) : « Tant le principe de </w:t>
      </w:r>
      <w:bookmarkStart w:id="1" w:name="ctx5"/>
      <w:r>
        <w:t>confiance mutuelle</w:t>
      </w:r>
      <w:bookmarkEnd w:id="1"/>
      <w:r>
        <w:t xml:space="preserve"> entre les États membres que le principe de reconnaissance mutuelle </w:t>
      </w:r>
      <w:proofErr w:type="gramStart"/>
      <w:r>
        <w:t>ont</w:t>
      </w:r>
      <w:proofErr w:type="gramEnd"/>
      <w:r>
        <w:t>, dans le droit de l’Union, une importance fondamentale, étant donné qu’ils permettent la création et le maintien d’un espace sans frontières intérieures ».</w:t>
      </w:r>
    </w:p>
  </w:footnote>
  <w:footnote w:id="67">
    <w:p w14:paraId="62CF9FA7" w14:textId="768424D4" w:rsidR="008932FA" w:rsidRDefault="008932FA" w:rsidP="00634778">
      <w:pPr>
        <w:pStyle w:val="Notedebasdepage"/>
        <w:spacing w:after="0"/>
      </w:pPr>
      <w:r>
        <w:rPr>
          <w:rStyle w:val="Appelnotedebasdep"/>
        </w:rPr>
        <w:footnoteRef/>
      </w:r>
      <w:r>
        <w:t xml:space="preserve"> Avis 2/13 </w:t>
      </w:r>
      <w:proofErr w:type="spellStart"/>
      <w:r>
        <w:t>préc</w:t>
      </w:r>
      <w:proofErr w:type="spellEnd"/>
      <w:r>
        <w:t>., pt. 168.</w:t>
      </w:r>
    </w:p>
  </w:footnote>
  <w:footnote w:id="68">
    <w:p w14:paraId="284D7EE6" w14:textId="6CB8026C" w:rsidR="008932FA" w:rsidRDefault="008932FA" w:rsidP="00634778">
      <w:pPr>
        <w:pStyle w:val="Notedebasdepage"/>
        <w:spacing w:after="0"/>
      </w:pPr>
      <w:r>
        <w:rPr>
          <w:rStyle w:val="Appelnotedebasdep"/>
        </w:rPr>
        <w:footnoteRef/>
      </w:r>
      <w:r>
        <w:t xml:space="preserve"> </w:t>
      </w:r>
      <w:r w:rsidRPr="00D070F6">
        <w:rPr>
          <w:spacing w:val="-2"/>
        </w:rPr>
        <w:t>L</w:t>
      </w:r>
      <w:r>
        <w:rPr>
          <w:spacing w:val="-2"/>
        </w:rPr>
        <w:t>’</w:t>
      </w:r>
      <w:r w:rsidRPr="00D070F6">
        <w:rPr>
          <w:spacing w:val="-2"/>
        </w:rPr>
        <w:t xml:space="preserve">article 49 TUE </w:t>
      </w:r>
      <w:r>
        <w:rPr>
          <w:spacing w:val="-2"/>
        </w:rPr>
        <w:t>conditionne</w:t>
      </w:r>
      <w:r w:rsidRPr="00D070F6">
        <w:rPr>
          <w:spacing w:val="-2"/>
        </w:rPr>
        <w:t xml:space="preserve"> en effet l</w:t>
      </w:r>
      <w:r>
        <w:rPr>
          <w:spacing w:val="-2"/>
        </w:rPr>
        <w:t>’</w:t>
      </w:r>
      <w:r w:rsidRPr="00D070F6">
        <w:rPr>
          <w:spacing w:val="-2"/>
        </w:rPr>
        <w:t xml:space="preserve">adhésion </w:t>
      </w:r>
      <w:r>
        <w:rPr>
          <w:spacing w:val="-2"/>
        </w:rPr>
        <w:t>d’un Etat</w:t>
      </w:r>
      <w:r w:rsidRPr="00D070F6">
        <w:rPr>
          <w:spacing w:val="-2"/>
        </w:rPr>
        <w:t xml:space="preserve"> </w:t>
      </w:r>
      <w:r>
        <w:rPr>
          <w:spacing w:val="-2"/>
        </w:rPr>
        <w:t>à son</w:t>
      </w:r>
      <w:r w:rsidRPr="00D070F6">
        <w:rPr>
          <w:spacing w:val="-2"/>
        </w:rPr>
        <w:t xml:space="preserve"> respect des valeurs de l</w:t>
      </w:r>
      <w:r>
        <w:rPr>
          <w:spacing w:val="-2"/>
        </w:rPr>
        <w:t>’</w:t>
      </w:r>
      <w:r w:rsidRPr="00D070F6">
        <w:rPr>
          <w:spacing w:val="-2"/>
        </w:rPr>
        <w:t>article 2 dudit traité.</w:t>
      </w:r>
    </w:p>
  </w:footnote>
  <w:footnote w:id="69">
    <w:p w14:paraId="37A528E4" w14:textId="11E57D77" w:rsidR="008932FA" w:rsidRDefault="008932FA" w:rsidP="00634778">
      <w:pPr>
        <w:pStyle w:val="Notedebasdepage"/>
        <w:spacing w:after="0"/>
      </w:pPr>
      <w:r>
        <w:rPr>
          <w:rStyle w:val="Appelnotedebasdep"/>
        </w:rPr>
        <w:footnoteRef/>
      </w:r>
      <w:r>
        <w:rPr>
          <w:spacing w:val="-4"/>
        </w:rPr>
        <w:t> </w:t>
      </w:r>
      <w:r w:rsidRPr="002A36E4">
        <w:t xml:space="preserve">L’adoption de l’une ou l’autre de ces conceptions induit des « conséquences concrètes et, notamment, la détermination des conditions dans lesquelles la confiance envers un ou plusieurs Etats membres peut être remise en cause et les mécanismes de reconnaissance mutuelle qui l’accompagnent être suspendus » (R. </w:t>
      </w:r>
      <w:proofErr w:type="spellStart"/>
      <w:r w:rsidRPr="002A36E4">
        <w:t>Tinière</w:t>
      </w:r>
      <w:proofErr w:type="spellEnd"/>
      <w:r w:rsidRPr="002A36E4">
        <w:t xml:space="preserve">, </w:t>
      </w:r>
      <w:r w:rsidRPr="002A36E4">
        <w:rPr>
          <w:i/>
        </w:rPr>
        <w:t xml:space="preserve">op. </w:t>
      </w:r>
      <w:proofErr w:type="gramStart"/>
      <w:r w:rsidRPr="002A36E4">
        <w:rPr>
          <w:i/>
        </w:rPr>
        <w:t>cit</w:t>
      </w:r>
      <w:proofErr w:type="gramEnd"/>
      <w:r w:rsidRPr="002A36E4">
        <w:t>., p. 73).</w:t>
      </w:r>
    </w:p>
  </w:footnote>
  <w:footnote w:id="70">
    <w:p w14:paraId="1A298CC5" w14:textId="24C3FB28" w:rsidR="008932FA" w:rsidRPr="00AC4995" w:rsidRDefault="008932FA" w:rsidP="00634778">
      <w:pPr>
        <w:pStyle w:val="Notedebasdepage"/>
        <w:spacing w:after="0"/>
      </w:pPr>
      <w:r>
        <w:rPr>
          <w:rStyle w:val="Appelnotedebasdep"/>
        </w:rPr>
        <w:footnoteRef/>
      </w:r>
      <w:r>
        <w:t xml:space="preserve"> Le point d’orgue de cette jurisprudence résultant évidemment de l’arrêt </w:t>
      </w:r>
      <w:r>
        <w:rPr>
          <w:i/>
        </w:rPr>
        <w:t>Melloni </w:t>
      </w:r>
      <w:r>
        <w:t xml:space="preserve">: CJUE, 26 février 2013, </w:t>
      </w:r>
      <w:r>
        <w:rPr>
          <w:i/>
        </w:rPr>
        <w:t xml:space="preserve">Stefano Melloni c. </w:t>
      </w:r>
      <w:proofErr w:type="spellStart"/>
      <w:r>
        <w:rPr>
          <w:i/>
        </w:rPr>
        <w:t>Ministerio</w:t>
      </w:r>
      <w:proofErr w:type="spellEnd"/>
      <w:r>
        <w:rPr>
          <w:i/>
        </w:rPr>
        <w:t xml:space="preserve"> </w:t>
      </w:r>
      <w:r w:rsidRPr="00AC4995">
        <w:rPr>
          <w:i/>
        </w:rPr>
        <w:t>Fiscal</w:t>
      </w:r>
      <w:r>
        <w:t xml:space="preserve">, </w:t>
      </w:r>
      <w:r w:rsidRPr="00AC4995">
        <w:t>Aff</w:t>
      </w:r>
      <w:r>
        <w:t>. C</w:t>
      </w:r>
      <w:r>
        <w:noBreakHyphen/>
        <w:t>399/11.</w:t>
      </w:r>
    </w:p>
  </w:footnote>
  <w:footnote w:id="71">
    <w:p w14:paraId="0976E343" w14:textId="1F035D64" w:rsidR="008932FA" w:rsidRDefault="008932FA" w:rsidP="00634778">
      <w:pPr>
        <w:pStyle w:val="Notedebasdepage"/>
        <w:spacing w:after="0"/>
      </w:pPr>
      <w:r>
        <w:rPr>
          <w:rStyle w:val="Appelnotedebasdep"/>
        </w:rPr>
        <w:footnoteRef/>
      </w:r>
      <w:r>
        <w:t xml:space="preserve"> Dans la communication</w:t>
      </w:r>
      <w:r w:rsidRPr="005361D6">
        <w:t xml:space="preserve"> sur </w:t>
      </w:r>
      <w:r>
        <w:t>l’</w:t>
      </w:r>
      <w:r w:rsidRPr="005361D6">
        <w:t>art</w:t>
      </w:r>
      <w:r>
        <w:t>icle</w:t>
      </w:r>
      <w:r w:rsidRPr="005361D6">
        <w:t xml:space="preserve"> 7 </w:t>
      </w:r>
      <w:r>
        <w:t>du Traité sur l’Union européenne (COM[2003]606), comme dans celle s</w:t>
      </w:r>
      <w:r w:rsidRPr="005361D6">
        <w:t>ur le nouv</w:t>
      </w:r>
      <w:r>
        <w:t xml:space="preserve">eau cadre pour l’état de droit (COM[2014)158), </w:t>
      </w:r>
      <w:r w:rsidRPr="005361D6">
        <w:t>la Com</w:t>
      </w:r>
      <w:r>
        <w:t xml:space="preserve">mission </w:t>
      </w:r>
      <w:r w:rsidRPr="005361D6">
        <w:t xml:space="preserve">fait </w:t>
      </w:r>
      <w:r>
        <w:t>pourtant</w:t>
      </w:r>
      <w:r w:rsidRPr="005361D6">
        <w:t xml:space="preserve"> le lien entre </w:t>
      </w:r>
      <w:r>
        <w:t xml:space="preserve">la </w:t>
      </w:r>
      <w:r w:rsidRPr="005361D6">
        <w:t>confiance mutu</w:t>
      </w:r>
      <w:r>
        <w:t xml:space="preserve">elle et la garantie de l’Etat de droit </w:t>
      </w:r>
      <w:r w:rsidRPr="005361D6">
        <w:t>dans t</w:t>
      </w:r>
      <w:r>
        <w:t>ou</w:t>
      </w:r>
      <w:r w:rsidRPr="005361D6">
        <w:t>s les</w:t>
      </w:r>
      <w:r>
        <w:t xml:space="preserve"> Etats membres, en soulignant que « des violations par un Etat membre des valeurs fondamentales qui atteignent le niveau de gravité requise pour l’article 7 TUE </w:t>
      </w:r>
      <w:r w:rsidRPr="005361D6">
        <w:t>risquent de miner les fondements même de l</w:t>
      </w:r>
      <w:r>
        <w:t>’</w:t>
      </w:r>
      <w:r w:rsidRPr="005361D6">
        <w:t>Union et</w:t>
      </w:r>
      <w:r>
        <w:t xml:space="preserve"> la confiance entre ses membres </w:t>
      </w:r>
      <w:r w:rsidRPr="005361D6">
        <w:t>».</w:t>
      </w:r>
      <w:r>
        <w:t xml:space="preserve"> On peut penser que l’activation de cette procédure de sanction à l’encontre de la Pologne, le 20 décembre 2017, pourrait paradoxalement donner corps à l’exigence de respect de l’article 2 TUE et donc assoir la « confiance en la confiance mutuelle ».</w:t>
      </w:r>
    </w:p>
  </w:footnote>
  <w:footnote w:id="72">
    <w:p w14:paraId="31197078" w14:textId="4ADF156A" w:rsidR="008932FA" w:rsidRDefault="008932FA" w:rsidP="00634778">
      <w:pPr>
        <w:pStyle w:val="Notedebasdepage"/>
        <w:spacing w:after="0"/>
      </w:pPr>
      <w:r>
        <w:rPr>
          <w:rStyle w:val="Appelnotedebasdep"/>
        </w:rPr>
        <w:footnoteRef/>
      </w:r>
      <w:r>
        <w:t xml:space="preserve"> Voir </w:t>
      </w:r>
      <w:r w:rsidRPr="006F750A">
        <w:rPr>
          <w:i/>
        </w:rPr>
        <w:t>infra</w:t>
      </w:r>
      <w:r>
        <w:t xml:space="preserve"> §IIA, ainsi que les contributions à cet ouvrage des Professeurs Elsa Bernard et Romain </w:t>
      </w:r>
      <w:proofErr w:type="spellStart"/>
      <w:r>
        <w:t>Tinière</w:t>
      </w:r>
      <w:proofErr w:type="spellEnd"/>
      <w:r>
        <w:t>.</w:t>
      </w:r>
    </w:p>
  </w:footnote>
  <w:footnote w:id="73">
    <w:p w14:paraId="35D5D4CC" w14:textId="6FCCF515" w:rsidR="008932FA" w:rsidRDefault="008932FA" w:rsidP="00C763B5">
      <w:pPr>
        <w:pStyle w:val="Notedebasdepage"/>
        <w:spacing w:after="0"/>
      </w:pPr>
      <w:r>
        <w:rPr>
          <w:rStyle w:val="Appelnotedebasdep"/>
        </w:rPr>
        <w:footnoteRef/>
      </w:r>
      <w:r>
        <w:t xml:space="preserve"> G. Marti, « L’avenir de la primauté : le dialogue des juges ? », </w:t>
      </w:r>
      <w:r w:rsidRPr="00B34A80">
        <w:rPr>
          <w:i/>
        </w:rPr>
        <w:t>RUE</w:t>
      </w:r>
      <w:r>
        <w:t xml:space="preserve">, n° 593, </w:t>
      </w:r>
      <w:r w:rsidRPr="00B34A80">
        <w:t>p</w:t>
      </w:r>
      <w:r>
        <w:t>. 642 et 643.</w:t>
      </w:r>
    </w:p>
  </w:footnote>
  <w:footnote w:id="74">
    <w:p w14:paraId="684824F1" w14:textId="77777777" w:rsidR="008932FA" w:rsidRDefault="008932FA" w:rsidP="00634778">
      <w:pPr>
        <w:pStyle w:val="Notedebasdepage"/>
        <w:spacing w:after="0"/>
      </w:pPr>
      <w:r>
        <w:rPr>
          <w:rStyle w:val="Appelnotedebasdep"/>
        </w:rPr>
        <w:footnoteRef/>
      </w:r>
      <w:r>
        <w:t xml:space="preserve"> </w:t>
      </w:r>
      <w:r w:rsidRPr="006F55F1">
        <w:t xml:space="preserve">G. </w:t>
      </w:r>
      <w:proofErr w:type="spellStart"/>
      <w:r w:rsidRPr="006F55F1">
        <w:t>Vernimmen</w:t>
      </w:r>
      <w:proofErr w:type="spellEnd"/>
      <w:r w:rsidRPr="006F55F1">
        <w:t xml:space="preserve">-Van </w:t>
      </w:r>
      <w:proofErr w:type="spellStart"/>
      <w:r w:rsidRPr="006F55F1">
        <w:t>Tiggelen</w:t>
      </w:r>
      <w:proofErr w:type="spellEnd"/>
      <w:r w:rsidRPr="006F55F1">
        <w:t xml:space="preserve"> et L. </w:t>
      </w:r>
      <w:proofErr w:type="spellStart"/>
      <w:r w:rsidRPr="006F55F1">
        <w:t>Surano</w:t>
      </w:r>
      <w:proofErr w:type="spellEnd"/>
      <w:r w:rsidRPr="006F55F1">
        <w:t xml:space="preserve">, </w:t>
      </w:r>
      <w:r>
        <w:rPr>
          <w:i/>
        </w:rPr>
        <w:t xml:space="preserve">op. </w:t>
      </w:r>
      <w:proofErr w:type="gramStart"/>
      <w:r>
        <w:rPr>
          <w:i/>
        </w:rPr>
        <w:t>cit</w:t>
      </w:r>
      <w:proofErr w:type="gramEnd"/>
      <w:r>
        <w:rPr>
          <w:i/>
        </w:rPr>
        <w:t>.</w:t>
      </w:r>
      <w:r w:rsidRPr="006F55F1">
        <w:t>,</w:t>
      </w:r>
      <w:r>
        <w:t xml:space="preserve"> p. 18.</w:t>
      </w:r>
    </w:p>
  </w:footnote>
  <w:footnote w:id="75">
    <w:p w14:paraId="7449C39A" w14:textId="6E609CFB" w:rsidR="008932FA" w:rsidRDefault="008932FA" w:rsidP="00634778">
      <w:pPr>
        <w:pStyle w:val="Notedebasdepage"/>
        <w:spacing w:after="0"/>
      </w:pPr>
      <w:r>
        <w:rPr>
          <w:rStyle w:val="Appelnotedebasdep"/>
        </w:rPr>
        <w:footnoteRef/>
      </w:r>
      <w:r>
        <w:t xml:space="preserve"> D. Ruiz-Jarabo Colomer, conclusions sous CJCE, 11 février 2003, </w:t>
      </w:r>
      <w:proofErr w:type="spellStart"/>
      <w:r>
        <w:rPr>
          <w:i/>
        </w:rPr>
        <w:t>Götuzök</w:t>
      </w:r>
      <w:proofErr w:type="spellEnd"/>
      <w:r>
        <w:rPr>
          <w:i/>
        </w:rPr>
        <w:t xml:space="preserve"> et </w:t>
      </w:r>
      <w:proofErr w:type="spellStart"/>
      <w:r>
        <w:rPr>
          <w:i/>
        </w:rPr>
        <w:t>Brügge</w:t>
      </w:r>
      <w:proofErr w:type="spellEnd"/>
      <w:r>
        <w:t>, Aff. C-187/01 et C</w:t>
      </w:r>
      <w:r>
        <w:noBreakHyphen/>
        <w:t>385/01, pt. 124.</w:t>
      </w:r>
    </w:p>
  </w:footnote>
  <w:footnote w:id="76">
    <w:p w14:paraId="4CE1D531" w14:textId="77777777" w:rsidR="008932FA" w:rsidRDefault="008932FA" w:rsidP="00634778">
      <w:pPr>
        <w:pStyle w:val="Notedebasdepage"/>
        <w:spacing w:after="0"/>
      </w:pPr>
      <w:r>
        <w:rPr>
          <w:rStyle w:val="Appelnotedebasdep"/>
        </w:rPr>
        <w:footnoteRef/>
      </w:r>
      <w:r>
        <w:t xml:space="preserve"> Communication de la Commission </w:t>
      </w:r>
      <w:proofErr w:type="spellStart"/>
      <w:r>
        <w:t>préc</w:t>
      </w:r>
      <w:proofErr w:type="spellEnd"/>
      <w:r>
        <w:t>. COM [1999] 299, p. 1.</w:t>
      </w:r>
    </w:p>
  </w:footnote>
  <w:footnote w:id="77">
    <w:p w14:paraId="0A263BF3" w14:textId="6CCBBAA9" w:rsidR="008932FA" w:rsidRPr="0000177A" w:rsidRDefault="008932FA" w:rsidP="00E50CAA">
      <w:pPr>
        <w:pStyle w:val="Notedebasdepage"/>
        <w:spacing w:after="0"/>
      </w:pPr>
      <w:r>
        <w:rPr>
          <w:rStyle w:val="Appelnotedebasdep"/>
        </w:rPr>
        <w:footnoteRef/>
      </w:r>
      <w:r>
        <w:t xml:space="preserve"> « La nouvelle méthode d’harmonisation fondée sur la reconnaissance mutuelle présente l’avantage de respecter la diversité des traditions juridiques nationales tout en les articulant. [...] En ce sens, la reconnaissance mutuelle a été décrite comme un outil de développement d’une “</w:t>
      </w:r>
      <w:proofErr w:type="spellStart"/>
      <w:r w:rsidRPr="0000177A">
        <w:t>démo</w:t>
      </w:r>
      <w:r>
        <w:rPr>
          <w:i/>
        </w:rPr>
        <w:t>i</w:t>
      </w:r>
      <w:r w:rsidRPr="0000177A">
        <w:t>cratie</w:t>
      </w:r>
      <w:proofErr w:type="spellEnd"/>
      <w:r>
        <w:t xml:space="preserve">” européenne fondée sur la mise en relation des traditions démocratiques des Etats membre plutôt que sur leur dissolution au sein d’une démocratie européenne unique régentée par un “super Etat” européen » (L. </w:t>
      </w:r>
      <w:proofErr w:type="spellStart"/>
      <w:r>
        <w:t>Leboeuf</w:t>
      </w:r>
      <w:proofErr w:type="spellEnd"/>
      <w:r>
        <w:t xml:space="preserve">, </w:t>
      </w:r>
      <w:r>
        <w:rPr>
          <w:i/>
        </w:rPr>
        <w:t>Le droit européen de l’asile au défi de la confiance mutuelle</w:t>
      </w:r>
      <w:r>
        <w:t xml:space="preserve">, </w:t>
      </w:r>
      <w:proofErr w:type="spellStart"/>
      <w:r>
        <w:t>Anthemis</w:t>
      </w:r>
      <w:proofErr w:type="spellEnd"/>
      <w:r>
        <w:t xml:space="preserve">, </w:t>
      </w:r>
      <w:proofErr w:type="spellStart"/>
      <w:r>
        <w:t>Limal</w:t>
      </w:r>
      <w:proofErr w:type="spellEnd"/>
      <w:r>
        <w:t>, 2016, p. 25-26).</w:t>
      </w:r>
    </w:p>
  </w:footnote>
  <w:footnote w:id="78">
    <w:p w14:paraId="77D68BC7" w14:textId="35401687" w:rsidR="008932FA" w:rsidRDefault="008932FA" w:rsidP="00E50CAA">
      <w:pPr>
        <w:pStyle w:val="Notedebasdepage"/>
        <w:spacing w:after="0"/>
      </w:pPr>
      <w:r>
        <w:rPr>
          <w:rStyle w:val="Appelnotedebasdep"/>
        </w:rPr>
        <w:footnoteRef/>
      </w:r>
      <w:r>
        <w:t xml:space="preserve"> </w:t>
      </w:r>
      <w:r w:rsidRPr="00DD5EB9">
        <w:t>Comme l</w:t>
      </w:r>
      <w:r>
        <w:t>’</w:t>
      </w:r>
      <w:r w:rsidRPr="00DD5EB9">
        <w:t>affirme en principe l</w:t>
      </w:r>
      <w:r>
        <w:t>’</w:t>
      </w:r>
      <w:r w:rsidRPr="00DD5EB9">
        <w:t>article 52, §4 de la Charte des droits fondamentaux de l</w:t>
      </w:r>
      <w:r>
        <w:t>’</w:t>
      </w:r>
      <w:r w:rsidRPr="00DD5EB9">
        <w:t>Union européenne.</w:t>
      </w:r>
    </w:p>
  </w:footnote>
  <w:footnote w:id="79">
    <w:p w14:paraId="6E48E5C1" w14:textId="77777777" w:rsidR="008932FA" w:rsidRPr="001627F9" w:rsidRDefault="008932FA" w:rsidP="00634778">
      <w:pPr>
        <w:pStyle w:val="Notedebasdepage"/>
        <w:spacing w:after="0"/>
      </w:pPr>
      <w:r>
        <w:rPr>
          <w:rStyle w:val="Appelnotedebasdep"/>
        </w:rPr>
        <w:footnoteRef/>
      </w:r>
      <w:r>
        <w:t xml:space="preserve"> Sur cette hypothèse, voir R. </w:t>
      </w:r>
      <w:proofErr w:type="spellStart"/>
      <w:r>
        <w:t>Tinière</w:t>
      </w:r>
      <w:proofErr w:type="spellEnd"/>
      <w:r>
        <w:t xml:space="preserve">, </w:t>
      </w:r>
      <w:r>
        <w:rPr>
          <w:i/>
        </w:rPr>
        <w:t xml:space="preserve">op. </w:t>
      </w:r>
      <w:proofErr w:type="gramStart"/>
      <w:r>
        <w:rPr>
          <w:i/>
        </w:rPr>
        <w:t>cit</w:t>
      </w:r>
      <w:proofErr w:type="gramEnd"/>
      <w:r>
        <w:rPr>
          <w:i/>
        </w:rPr>
        <w:t>.</w:t>
      </w:r>
      <w:r>
        <w:t>, p. 75-76.</w:t>
      </w:r>
    </w:p>
  </w:footnote>
  <w:footnote w:id="80">
    <w:p w14:paraId="0F2E8449" w14:textId="02BE9689" w:rsidR="008932FA" w:rsidRPr="00D6057B" w:rsidRDefault="008932FA" w:rsidP="00634778">
      <w:pPr>
        <w:pStyle w:val="Notedebasdepage"/>
        <w:spacing w:after="0"/>
      </w:pPr>
      <w:r>
        <w:rPr>
          <w:rStyle w:val="Appelnotedebasdep"/>
        </w:rPr>
        <w:footnoteRef/>
      </w:r>
      <w:r>
        <w:t xml:space="preserve"> </w:t>
      </w:r>
      <w:r w:rsidRPr="00221844">
        <w:t>Dans ses conclusions</w:t>
      </w:r>
      <w:r>
        <w:t xml:space="preserve"> rendues</w:t>
      </w:r>
      <w:r w:rsidRPr="00221844">
        <w:t xml:space="preserve"> sous l</w:t>
      </w:r>
      <w:r>
        <w:t>’</w:t>
      </w:r>
      <w:r w:rsidRPr="00221844">
        <w:t xml:space="preserve">affaire </w:t>
      </w:r>
      <w:proofErr w:type="spellStart"/>
      <w:r w:rsidRPr="00221844">
        <w:rPr>
          <w:i/>
        </w:rPr>
        <w:t>Götuzök</w:t>
      </w:r>
      <w:proofErr w:type="spellEnd"/>
      <w:r>
        <w:rPr>
          <w:i/>
        </w:rPr>
        <w:t xml:space="preserve"> </w:t>
      </w:r>
      <w:proofErr w:type="spellStart"/>
      <w:r w:rsidRPr="00221844">
        <w:t>préc</w:t>
      </w:r>
      <w:proofErr w:type="spellEnd"/>
      <w:r>
        <w:rPr>
          <w:i/>
        </w:rPr>
        <w:t>.</w:t>
      </w:r>
      <w:r>
        <w:t xml:space="preserve"> (</w:t>
      </w:r>
      <w:proofErr w:type="gramStart"/>
      <w:r>
        <w:t>pt</w:t>
      </w:r>
      <w:proofErr w:type="gramEnd"/>
      <w:r>
        <w:t>. 124)</w:t>
      </w:r>
      <w:r w:rsidRPr="00221844">
        <w:t>, l</w:t>
      </w:r>
      <w:r>
        <w:t>’</w:t>
      </w:r>
      <w:r w:rsidRPr="00221844">
        <w:t>avocat géné</w:t>
      </w:r>
      <w:r>
        <w:t xml:space="preserve">ral </w:t>
      </w:r>
      <w:proofErr w:type="spellStart"/>
      <w:r w:rsidR="00441FA1">
        <w:t>Damasio</w:t>
      </w:r>
      <w:proofErr w:type="spellEnd"/>
      <w:r w:rsidR="00441FA1">
        <w:t xml:space="preserve"> </w:t>
      </w:r>
      <w:r>
        <w:t>Ruiz-Jarabo Colomer souligne</w:t>
      </w:r>
      <w:r w:rsidRPr="00221844">
        <w:t xml:space="preserve"> que</w:t>
      </w:r>
      <w:r w:rsidR="00441FA1">
        <w:t>,</w:t>
      </w:r>
      <w:r w:rsidRPr="00221844">
        <w:t xml:space="preserve"> pour qu</w:t>
      </w:r>
      <w:r>
        <w:t>’</w:t>
      </w:r>
      <w:r w:rsidRPr="00221844">
        <w:t>un Etat considère comme équivalent</w:t>
      </w:r>
      <w:r w:rsidR="00441FA1">
        <w:t>s</w:t>
      </w:r>
      <w:r w:rsidRPr="00221844">
        <w:t xml:space="preserve"> les résultats atteints par une procédure poursuivie dans un autre Etat membre, il faut que ceux-ci « répondent aux mêmes principes et valeurs »</w:t>
      </w:r>
      <w:r w:rsidR="00441FA1">
        <w:t>.</w:t>
      </w:r>
      <w:r w:rsidRPr="00221844">
        <w:t xml:space="preserve"> Il faut</w:t>
      </w:r>
      <w:r w:rsidR="00244C83">
        <w:t>,</w:t>
      </w:r>
      <w:r w:rsidRPr="00221844">
        <w:t xml:space="preserve"> autrement dit</w:t>
      </w:r>
      <w:r w:rsidR="00244C83">
        <w:t>,</w:t>
      </w:r>
      <w:r w:rsidRPr="00221844">
        <w:t xml:space="preserve"> qu</w:t>
      </w:r>
      <w:r w:rsidR="00244C83">
        <w:t>’</w:t>
      </w:r>
      <w:r w:rsidRPr="00221844">
        <w:t xml:space="preserve">il existe </w:t>
      </w:r>
      <w:r w:rsidR="00244C83" w:rsidRPr="00221844">
        <w:t>conformément à l</w:t>
      </w:r>
      <w:r w:rsidR="00244C83">
        <w:t>’</w:t>
      </w:r>
      <w:r w:rsidR="00244C83">
        <w:t>article 2 TUE</w:t>
      </w:r>
      <w:r w:rsidR="00244C83" w:rsidRPr="00221844">
        <w:t xml:space="preserve"> </w:t>
      </w:r>
      <w:r w:rsidRPr="00221844">
        <w:t>un « véritable march</w:t>
      </w:r>
      <w:r w:rsidR="00244C83">
        <w:t xml:space="preserve">é commun des droits ». </w:t>
      </w:r>
      <w:r w:rsidR="00244C83">
        <w:t>Comme l’écrit très justement Henri </w:t>
      </w:r>
      <w:proofErr w:type="spellStart"/>
      <w:r w:rsidR="00244C83" w:rsidRPr="00221844">
        <w:t>Labayle</w:t>
      </w:r>
      <w:proofErr w:type="spellEnd"/>
      <w:r w:rsidR="00244C83" w:rsidRPr="00221844">
        <w:t xml:space="preserve">, « la confiance mutuelle qui conditionne le jeu de la reconnaissance fait </w:t>
      </w:r>
      <w:r w:rsidR="00947C3F">
        <w:t xml:space="preserve">[donc] </w:t>
      </w:r>
      <w:r w:rsidR="00244C83" w:rsidRPr="00221844">
        <w:t>immédiatement surgir une question centrale de l</w:t>
      </w:r>
      <w:r w:rsidR="00244C83">
        <w:t>’</w:t>
      </w:r>
      <w:r w:rsidR="00244C83" w:rsidRPr="00221844">
        <w:t>ELSJ, trop souvent minorée, celle de la place des droits fondamentaux et des limites que leur protection entraîne en matière de confiance réciproque entre les systèmes répressifs des Etats membre »</w:t>
      </w:r>
      <w:r w:rsidR="00947C3F">
        <w:t xml:space="preserve"> (</w:t>
      </w:r>
      <w:r w:rsidR="00947C3F">
        <w:t xml:space="preserve">« Article 42-1 », </w:t>
      </w:r>
      <w:r w:rsidR="00947C3F">
        <w:rPr>
          <w:i/>
        </w:rPr>
        <w:t xml:space="preserve">op. </w:t>
      </w:r>
      <w:proofErr w:type="gramStart"/>
      <w:r w:rsidR="00947C3F">
        <w:rPr>
          <w:i/>
        </w:rPr>
        <w:t>cit</w:t>
      </w:r>
      <w:proofErr w:type="gramEnd"/>
      <w:r w:rsidR="00947C3F">
        <w:rPr>
          <w:i/>
        </w:rPr>
        <w:t>.</w:t>
      </w:r>
      <w:r w:rsidR="00947C3F">
        <w:t>, p. 554-555</w:t>
      </w:r>
      <w:r w:rsidR="00947C3F">
        <w:t>).</w:t>
      </w:r>
    </w:p>
  </w:footnote>
  <w:footnote w:id="81">
    <w:p w14:paraId="05D7E820" w14:textId="64A1C9BA" w:rsidR="008932FA" w:rsidRPr="00635032" w:rsidRDefault="008932FA" w:rsidP="00634778">
      <w:pPr>
        <w:pStyle w:val="Notedebasdepage"/>
        <w:spacing w:after="0"/>
      </w:pPr>
      <w:r>
        <w:rPr>
          <w:rStyle w:val="Appelnotedebasdep"/>
        </w:rPr>
        <w:footnoteRef/>
      </w:r>
      <w:r>
        <w:t xml:space="preserve"> Aussi peut-on lire dans l’avis 2/13 </w:t>
      </w:r>
      <w:proofErr w:type="spellStart"/>
      <w:r>
        <w:t>préc</w:t>
      </w:r>
      <w:proofErr w:type="spellEnd"/>
      <w:r>
        <w:t>. (</w:t>
      </w:r>
      <w:proofErr w:type="gramStart"/>
      <w:r>
        <w:t>pt</w:t>
      </w:r>
      <w:proofErr w:type="gramEnd"/>
      <w:r>
        <w:t>. 192) qu’un Etat ne peut « exiger d’un autre État membre un niveau de protection national</w:t>
      </w:r>
      <w:r w:rsidR="00441FA1">
        <w:t>e</w:t>
      </w:r>
      <w:r>
        <w:t xml:space="preserve"> des droits fondamentaux plus élevé que celui assuré par le droit de l’Union ».</w:t>
      </w:r>
    </w:p>
  </w:footnote>
  <w:footnote w:id="82">
    <w:p w14:paraId="0652F544" w14:textId="74169949" w:rsidR="008932FA" w:rsidRPr="00530D42" w:rsidRDefault="008932FA" w:rsidP="00634778">
      <w:pPr>
        <w:pStyle w:val="Notedebasdepage"/>
        <w:spacing w:after="0"/>
      </w:pPr>
      <w:r>
        <w:rPr>
          <w:rStyle w:val="Appelnotedebasdep"/>
        </w:rPr>
        <w:footnoteRef/>
      </w:r>
      <w:r w:rsidR="00441FA1">
        <w:t xml:space="preserve"> C. D. </w:t>
      </w:r>
      <w:proofErr w:type="spellStart"/>
      <w:r w:rsidR="00441FA1">
        <w:t>Class</w:t>
      </w:r>
      <w:r w:rsidRPr="00530D42">
        <w:t>en</w:t>
      </w:r>
      <w:proofErr w:type="spellEnd"/>
      <w:r w:rsidRPr="00530D42">
        <w:t xml:space="preserve">, </w:t>
      </w:r>
      <w:r w:rsidRPr="005561B8">
        <w:t>« Confiance mutuelle et identité constitutionnelle nationale – Quel avenir dans l</w:t>
      </w:r>
      <w:r>
        <w:t>’</w:t>
      </w:r>
      <w:r w:rsidRPr="005561B8">
        <w:t xml:space="preserve">espace juridique européen ? </w:t>
      </w:r>
      <w:r>
        <w:t xml:space="preserve">A propos de la décision de la Cour constitutionnelle allemande sur le mandat d’arrêt européen du 15 décembre 2015 », </w:t>
      </w:r>
      <w:r>
        <w:rPr>
          <w:i/>
        </w:rPr>
        <w:t>CDE</w:t>
      </w:r>
      <w:r>
        <w:t>, 2016, n°2,</w:t>
      </w:r>
      <w:r w:rsidRPr="00530D42">
        <w:t xml:space="preserve"> p. 681.</w:t>
      </w:r>
    </w:p>
  </w:footnote>
  <w:footnote w:id="83">
    <w:p w14:paraId="3797E82D" w14:textId="114BB7E2" w:rsidR="008932FA" w:rsidRPr="005561B8" w:rsidRDefault="008932FA" w:rsidP="00634778">
      <w:pPr>
        <w:pStyle w:val="Notedebasdepage"/>
        <w:spacing w:after="0"/>
        <w:rPr>
          <w:lang w:val="en-US"/>
        </w:rPr>
      </w:pPr>
      <w:r>
        <w:rPr>
          <w:rStyle w:val="Appelnotedebasdep"/>
        </w:rPr>
        <w:footnoteRef/>
      </w:r>
      <w:r w:rsidRPr="00AB5E4B">
        <w:rPr>
          <w:lang w:val="en-US"/>
        </w:rPr>
        <w:t xml:space="preserve"> </w:t>
      </w:r>
      <w:r>
        <w:rPr>
          <w:lang w:val="en-US"/>
        </w:rPr>
        <w:t xml:space="preserve">K. </w:t>
      </w:r>
      <w:proofErr w:type="spellStart"/>
      <w:r>
        <w:rPr>
          <w:lang w:val="en-US"/>
        </w:rPr>
        <w:t>N</w:t>
      </w:r>
      <w:r w:rsidRPr="00AB5E4B">
        <w:rPr>
          <w:lang w:val="en-US"/>
        </w:rPr>
        <w:t>icolaïdis</w:t>
      </w:r>
      <w:proofErr w:type="spellEnd"/>
      <w:r w:rsidRPr="00AB5E4B">
        <w:rPr>
          <w:lang w:val="en-US"/>
        </w:rPr>
        <w:t xml:space="preserve">, </w:t>
      </w:r>
      <w:r w:rsidRPr="005561B8">
        <w:rPr>
          <w:lang w:val="en-US"/>
        </w:rPr>
        <w:t>« Trusting the Poles? Constructing Europe through mutual</w:t>
      </w:r>
      <w:r>
        <w:rPr>
          <w:lang w:val="en-US"/>
        </w:rPr>
        <w:t xml:space="preserve"> </w:t>
      </w:r>
      <w:r w:rsidRPr="005561B8">
        <w:rPr>
          <w:lang w:val="en-US"/>
        </w:rPr>
        <w:t>recognition</w:t>
      </w:r>
      <w:r>
        <w:rPr>
          <w:lang w:val="en-US"/>
        </w:rPr>
        <w:t> </w:t>
      </w:r>
      <w:r w:rsidRPr="005561B8">
        <w:rPr>
          <w:lang w:val="en-US"/>
        </w:rPr>
        <w:t>»</w:t>
      </w:r>
      <w:r>
        <w:rPr>
          <w:lang w:val="en-US"/>
        </w:rPr>
        <w:t xml:space="preserve">, </w:t>
      </w:r>
      <w:r>
        <w:rPr>
          <w:i/>
          <w:lang w:val="en-US"/>
        </w:rPr>
        <w:t>Journal of European Public Policy</w:t>
      </w:r>
      <w:r>
        <w:rPr>
          <w:lang w:val="en-US"/>
        </w:rPr>
        <w:t>, 2007,</w:t>
      </w:r>
      <w:r w:rsidRPr="005561B8">
        <w:rPr>
          <w:lang w:val="en-US"/>
        </w:rPr>
        <w:t> </w:t>
      </w:r>
      <w:r w:rsidRPr="00AB5E4B">
        <w:rPr>
          <w:lang w:val="en-US"/>
        </w:rPr>
        <w:t>p. 685</w:t>
      </w:r>
      <w:r>
        <w:rPr>
          <w:lang w:val="en-US"/>
        </w:rPr>
        <w:t xml:space="preserve"> (</w:t>
      </w:r>
      <w:r w:rsidRPr="00441FA1">
        <w:t>disp</w:t>
      </w:r>
      <w:r w:rsidR="00441FA1" w:rsidRPr="00441FA1">
        <w:t xml:space="preserve">onible en </w:t>
      </w:r>
      <w:proofErr w:type="gramStart"/>
      <w:r w:rsidR="00441FA1" w:rsidRPr="00441FA1">
        <w:t>ligne</w:t>
      </w:r>
      <w:r w:rsidR="00441FA1">
        <w:rPr>
          <w:lang w:val="en-US"/>
        </w:rPr>
        <w:t> :</w:t>
      </w:r>
      <w:proofErr w:type="gramEnd"/>
      <w:r>
        <w:rPr>
          <w:lang w:val="en-US"/>
        </w:rPr>
        <w:t xml:space="preserve"> </w:t>
      </w:r>
      <w:r w:rsidRPr="005561B8">
        <w:rPr>
          <w:lang w:val="en-US"/>
        </w:rPr>
        <w:t>http://dx.doi.org/10.1080/13501760701427847</w:t>
      </w:r>
      <w:r>
        <w:rPr>
          <w:lang w:val="en-US"/>
        </w:rPr>
        <w:t>).</w:t>
      </w:r>
    </w:p>
  </w:footnote>
  <w:footnote w:id="84">
    <w:p w14:paraId="53E07F45" w14:textId="4575B83F" w:rsidR="008932FA" w:rsidRDefault="008932FA" w:rsidP="00634778">
      <w:pPr>
        <w:pStyle w:val="Notedebasdepage"/>
        <w:spacing w:after="0"/>
      </w:pPr>
      <w:r>
        <w:rPr>
          <w:rStyle w:val="Appelnotedebasdep"/>
        </w:rPr>
        <w:footnoteRef/>
      </w:r>
      <w:r>
        <w:t xml:space="preserve"> </w:t>
      </w:r>
      <w:r w:rsidRPr="006C62BB">
        <w:t xml:space="preserve">R. </w:t>
      </w:r>
      <w:proofErr w:type="spellStart"/>
      <w:r w:rsidRPr="006C62BB">
        <w:t>Tinière</w:t>
      </w:r>
      <w:proofErr w:type="spellEnd"/>
      <w:r w:rsidRPr="006C62BB">
        <w:t xml:space="preserve">, </w:t>
      </w:r>
      <w:r w:rsidRPr="006C62BB">
        <w:rPr>
          <w:i/>
        </w:rPr>
        <w:t xml:space="preserve">op. </w:t>
      </w:r>
      <w:proofErr w:type="gramStart"/>
      <w:r w:rsidRPr="006C62BB">
        <w:rPr>
          <w:i/>
        </w:rPr>
        <w:t>cit</w:t>
      </w:r>
      <w:proofErr w:type="gramEnd"/>
      <w:r w:rsidRPr="006C62BB">
        <w:rPr>
          <w:i/>
        </w:rPr>
        <w:t>.</w:t>
      </w:r>
      <w:r>
        <w:t>, p. 80.</w:t>
      </w:r>
    </w:p>
  </w:footnote>
  <w:footnote w:id="85">
    <w:p w14:paraId="59B2E235" w14:textId="3E90E4C4" w:rsidR="008932FA" w:rsidRPr="000E04D7" w:rsidRDefault="008932FA" w:rsidP="00634778">
      <w:pPr>
        <w:pStyle w:val="Notedebasdepage"/>
        <w:spacing w:after="0"/>
      </w:pPr>
      <w:r>
        <w:rPr>
          <w:rStyle w:val="Appelnotedebasdep"/>
        </w:rPr>
        <w:footnoteRef/>
      </w:r>
      <w:r>
        <w:t xml:space="preserve"> Voir également dans le même sens, à propos de la décision </w:t>
      </w:r>
      <w:r>
        <w:rPr>
          <w:i/>
        </w:rPr>
        <w:t xml:space="preserve">OMT </w:t>
      </w:r>
      <w:r>
        <w:t xml:space="preserve">rendue par cette même juridiction et de l’invocation de la démocratie : H. Gaudin, « L’affaire </w:t>
      </w:r>
      <w:r>
        <w:rPr>
          <w:i/>
        </w:rPr>
        <w:t xml:space="preserve">OMT </w:t>
      </w:r>
      <w:r>
        <w:t xml:space="preserve">devant son (ses ?) juges », </w:t>
      </w:r>
      <w:r w:rsidRPr="000E04D7">
        <w:rPr>
          <w:i/>
        </w:rPr>
        <w:t>AJDA</w:t>
      </w:r>
      <w:r>
        <w:t>, 2016, p. 1058.</w:t>
      </w:r>
    </w:p>
  </w:footnote>
  <w:footnote w:id="86">
    <w:p w14:paraId="70457920" w14:textId="0948415A" w:rsidR="008932FA" w:rsidRDefault="008932FA" w:rsidP="00634778">
      <w:pPr>
        <w:pStyle w:val="Notedebasdepage"/>
        <w:spacing w:after="0"/>
      </w:pPr>
      <w:r>
        <w:rPr>
          <w:rStyle w:val="Appelnotedebasdep"/>
        </w:rPr>
        <w:footnoteRef/>
      </w:r>
      <w:r>
        <w:t xml:space="preserve"> </w:t>
      </w:r>
      <w:r w:rsidR="0069763C">
        <w:t xml:space="preserve">Voir sur la position de la Cour, </w:t>
      </w:r>
      <w:r w:rsidRPr="00686A00">
        <w:t xml:space="preserve">E. </w:t>
      </w:r>
      <w:proofErr w:type="spellStart"/>
      <w:r w:rsidRPr="00686A00">
        <w:t>Bribosia</w:t>
      </w:r>
      <w:proofErr w:type="spellEnd"/>
      <w:r w:rsidRPr="00686A00">
        <w:t xml:space="preserve"> et A. </w:t>
      </w:r>
      <w:proofErr w:type="spellStart"/>
      <w:r w:rsidRPr="00686A00">
        <w:t>Weyembergh</w:t>
      </w:r>
      <w:proofErr w:type="spellEnd"/>
      <w:r w:rsidRPr="00686A00">
        <w:t xml:space="preserve">, « Confiance mutuelle et droits fondamentaux: </w:t>
      </w:r>
      <w:r>
        <w:t>‘</w:t>
      </w:r>
      <w:r w:rsidRPr="00686A00">
        <w:t>Back to the future</w:t>
      </w:r>
      <w:r>
        <w:t>’</w:t>
      </w:r>
      <w:r w:rsidRPr="00686A00">
        <w:t xml:space="preserve"> », </w:t>
      </w:r>
      <w:r w:rsidR="00441FA1">
        <w:rPr>
          <w:i/>
          <w:iCs/>
        </w:rPr>
        <w:t>CDE</w:t>
      </w:r>
      <w:r w:rsidRPr="00686A00">
        <w:t>, 2016, n° 2,</w:t>
      </w:r>
      <w:r>
        <w:t xml:space="preserve"> p. 509.</w:t>
      </w:r>
    </w:p>
  </w:footnote>
  <w:footnote w:id="87">
    <w:p w14:paraId="3FF8CE92" w14:textId="34D6C4E0" w:rsidR="008932FA" w:rsidRPr="00627FA9" w:rsidRDefault="008932FA" w:rsidP="00634778">
      <w:pPr>
        <w:pStyle w:val="Notedebasdepage"/>
        <w:spacing w:after="0"/>
      </w:pPr>
      <w:r>
        <w:rPr>
          <w:rStyle w:val="Appelnotedebasdep"/>
        </w:rPr>
        <w:footnoteRef/>
      </w:r>
      <w:r w:rsidR="00C24198">
        <w:t xml:space="preserve"> CEDH</w:t>
      </w:r>
      <w:r w:rsidR="0069763C">
        <w:t xml:space="preserve">, </w:t>
      </w:r>
      <w:r>
        <w:t xml:space="preserve">18 juin 2013, </w:t>
      </w:r>
      <w:proofErr w:type="spellStart"/>
      <w:r w:rsidRPr="006A761D">
        <w:rPr>
          <w:i/>
        </w:rPr>
        <w:t>Povse</w:t>
      </w:r>
      <w:proofErr w:type="spellEnd"/>
      <w:r>
        <w:rPr>
          <w:i/>
        </w:rPr>
        <w:t xml:space="preserve"> </w:t>
      </w:r>
      <w:r w:rsidRPr="006A761D">
        <w:rPr>
          <w:i/>
        </w:rPr>
        <w:t>c.</w:t>
      </w:r>
      <w:r>
        <w:rPr>
          <w:i/>
        </w:rPr>
        <w:t xml:space="preserve"> </w:t>
      </w:r>
      <w:proofErr w:type="spellStart"/>
      <w:r w:rsidRPr="006A761D">
        <w:rPr>
          <w:i/>
        </w:rPr>
        <w:t>Austri</w:t>
      </w:r>
      <w:r>
        <w:rPr>
          <w:i/>
        </w:rPr>
        <w:t>che</w:t>
      </w:r>
      <w:proofErr w:type="spellEnd"/>
      <w:r>
        <w:t xml:space="preserve">, </w:t>
      </w:r>
      <w:proofErr w:type="spellStart"/>
      <w:r>
        <w:t>req</w:t>
      </w:r>
      <w:proofErr w:type="spellEnd"/>
      <w:r>
        <w:t xml:space="preserve">. </w:t>
      </w:r>
      <w:proofErr w:type="gramStart"/>
      <w:r>
        <w:t>n</w:t>
      </w:r>
      <w:proofErr w:type="gramEnd"/>
      <w:r>
        <w:t>°3890/11</w:t>
      </w:r>
      <w:r w:rsidRPr="007E5351">
        <w:t xml:space="preserve"> </w:t>
      </w:r>
      <w:r>
        <w:t xml:space="preserve">et </w:t>
      </w:r>
      <w:r w:rsidR="00C24198">
        <w:t>C</w:t>
      </w:r>
      <w:r>
        <w:t xml:space="preserve">EDH, 3 mai 2016, </w:t>
      </w:r>
      <w:proofErr w:type="spellStart"/>
      <w:r>
        <w:rPr>
          <w:i/>
        </w:rPr>
        <w:t>Avotins</w:t>
      </w:r>
      <w:proofErr w:type="spellEnd"/>
      <w:r>
        <w:rPr>
          <w:i/>
        </w:rPr>
        <w:t xml:space="preserve"> c. Lettonie</w:t>
      </w:r>
      <w:r w:rsidR="00C24198">
        <w:t xml:space="preserve">, </w:t>
      </w:r>
      <w:proofErr w:type="spellStart"/>
      <w:r w:rsidR="00C24198">
        <w:t>req</w:t>
      </w:r>
      <w:proofErr w:type="spellEnd"/>
      <w:r w:rsidR="00C24198">
        <w:t xml:space="preserve">. </w:t>
      </w:r>
      <w:proofErr w:type="gramStart"/>
      <w:r w:rsidR="00C24198">
        <w:t>n</w:t>
      </w:r>
      <w:proofErr w:type="gramEnd"/>
      <w:r w:rsidR="00C24198">
        <w:t>°</w:t>
      </w:r>
      <w:r>
        <w:t xml:space="preserve">17502/07. A l’inverse, on observera que dans le champ de la coopération pénale, l’équivalence n’a pas été jusqu’à présent sollicitée de manière explicite (voir toutefois, </w:t>
      </w:r>
      <w:r w:rsidR="00C24198">
        <w:t>C</w:t>
      </w:r>
      <w:r>
        <w:t xml:space="preserve">EDH, 4 mai 2010, </w:t>
      </w:r>
      <w:proofErr w:type="spellStart"/>
      <w:r>
        <w:rPr>
          <w:i/>
        </w:rPr>
        <w:t>Stapleton</w:t>
      </w:r>
      <w:proofErr w:type="spellEnd"/>
      <w:r>
        <w:rPr>
          <w:i/>
        </w:rPr>
        <w:t xml:space="preserve"> c</w:t>
      </w:r>
      <w:r w:rsidRPr="004E70C4">
        <w:rPr>
          <w:i/>
        </w:rPr>
        <w:t>.</w:t>
      </w:r>
      <w:r>
        <w:rPr>
          <w:i/>
        </w:rPr>
        <w:t xml:space="preserve"> </w:t>
      </w:r>
      <w:r w:rsidRPr="004E70C4">
        <w:rPr>
          <w:i/>
        </w:rPr>
        <w:t>Ireland</w:t>
      </w:r>
      <w:r w:rsidR="00C24198">
        <w:t xml:space="preserve">, </w:t>
      </w:r>
      <w:proofErr w:type="spellStart"/>
      <w:r w:rsidR="00C24198">
        <w:t>req</w:t>
      </w:r>
      <w:proofErr w:type="spellEnd"/>
      <w:r w:rsidR="00C24198">
        <w:t xml:space="preserve">. </w:t>
      </w:r>
      <w:proofErr w:type="gramStart"/>
      <w:r w:rsidR="00C24198">
        <w:t>n</w:t>
      </w:r>
      <w:proofErr w:type="gramEnd"/>
      <w:r w:rsidR="00C24198">
        <w:t>°</w:t>
      </w:r>
      <w:r>
        <w:t xml:space="preserve">56588/07), tandis que dans le domaine de la politique migratoire et de l’asile, les conditions posées dans l’arrêt de principe </w:t>
      </w:r>
      <w:proofErr w:type="spellStart"/>
      <w:r w:rsidRPr="00627FA9">
        <w:rPr>
          <w:i/>
        </w:rPr>
        <w:t>Bosphorus</w:t>
      </w:r>
      <w:proofErr w:type="spellEnd"/>
      <w:r>
        <w:rPr>
          <w:i/>
        </w:rPr>
        <w:t xml:space="preserve"> </w:t>
      </w:r>
      <w:r>
        <w:t xml:space="preserve">(CEDH, 30 juin 2005, </w:t>
      </w:r>
      <w:proofErr w:type="spellStart"/>
      <w:r>
        <w:rPr>
          <w:i/>
        </w:rPr>
        <w:t>Bosphorus</w:t>
      </w:r>
      <w:proofErr w:type="spellEnd"/>
      <w:r>
        <w:rPr>
          <w:i/>
        </w:rPr>
        <w:t xml:space="preserve"> c. Irlande</w:t>
      </w:r>
      <w:r w:rsidR="00C24198">
        <w:t xml:space="preserve">, </w:t>
      </w:r>
      <w:proofErr w:type="spellStart"/>
      <w:r w:rsidR="00C24198">
        <w:t>req</w:t>
      </w:r>
      <w:proofErr w:type="spellEnd"/>
      <w:r w:rsidR="00C24198">
        <w:t xml:space="preserve">. </w:t>
      </w:r>
      <w:proofErr w:type="gramStart"/>
      <w:r w:rsidR="00C24198">
        <w:t>n</w:t>
      </w:r>
      <w:proofErr w:type="gramEnd"/>
      <w:r w:rsidR="00C24198">
        <w:t>°</w:t>
      </w:r>
      <w:r w:rsidRPr="00AF5E5F">
        <w:t>45036/98</w:t>
      </w:r>
      <w:r>
        <w:t>) ont conduit à écarter la présomption d’équivalence en raison de la marge de manœuvre conservée par les Etats membres du fait de l’existence dans le « système Dublin » d’une clause de souveraineté (</w:t>
      </w:r>
      <w:r w:rsidR="00C24198">
        <w:t>C</w:t>
      </w:r>
      <w:r>
        <w:t xml:space="preserve">EDH, 20 janvier 2011, </w:t>
      </w:r>
      <w:r w:rsidRPr="00AF5E5F">
        <w:rPr>
          <w:i/>
        </w:rPr>
        <w:t>M.S.S. c. Belgique et</w:t>
      </w:r>
      <w:r>
        <w:t xml:space="preserve"> </w:t>
      </w:r>
      <w:r w:rsidRPr="00AF5E5F">
        <w:rPr>
          <w:i/>
        </w:rPr>
        <w:t>Grèce</w:t>
      </w:r>
      <w:r>
        <w:t xml:space="preserve">, </w:t>
      </w:r>
      <w:proofErr w:type="spellStart"/>
      <w:r>
        <w:t>req</w:t>
      </w:r>
      <w:proofErr w:type="spellEnd"/>
      <w:r>
        <w:t xml:space="preserve">. </w:t>
      </w:r>
      <w:proofErr w:type="gramStart"/>
      <w:r>
        <w:t>n</w:t>
      </w:r>
      <w:proofErr w:type="gramEnd"/>
      <w:r>
        <w:t>°</w:t>
      </w:r>
      <w:r w:rsidR="00C24198">
        <w:t>30696/09 ; C</w:t>
      </w:r>
      <w:r>
        <w:t xml:space="preserve">EDH, 4 novembre 2014, </w:t>
      </w:r>
      <w:proofErr w:type="spellStart"/>
      <w:r w:rsidRPr="00AF5E5F">
        <w:rPr>
          <w:i/>
        </w:rPr>
        <w:t>Tarakhel</w:t>
      </w:r>
      <w:proofErr w:type="spellEnd"/>
      <w:r w:rsidRPr="00AF5E5F">
        <w:rPr>
          <w:i/>
        </w:rPr>
        <w:t xml:space="preserve"> c. Suisse</w:t>
      </w:r>
      <w:r>
        <w:t xml:space="preserve">, </w:t>
      </w:r>
      <w:proofErr w:type="spellStart"/>
      <w:r>
        <w:t>req</w:t>
      </w:r>
      <w:proofErr w:type="spellEnd"/>
      <w:r>
        <w:t xml:space="preserve">. </w:t>
      </w:r>
      <w:proofErr w:type="gramStart"/>
      <w:r>
        <w:t>n</w:t>
      </w:r>
      <w:proofErr w:type="gramEnd"/>
      <w:r>
        <w:t>° 29217/12).</w:t>
      </w:r>
    </w:p>
  </w:footnote>
  <w:footnote w:id="88">
    <w:p w14:paraId="3444BDAE" w14:textId="77777777" w:rsidR="008932FA" w:rsidRDefault="008932FA" w:rsidP="00634778">
      <w:pPr>
        <w:pStyle w:val="Notedebasdepage"/>
        <w:spacing w:after="0"/>
      </w:pPr>
      <w:r>
        <w:rPr>
          <w:rStyle w:val="Appelnotedebasdep"/>
        </w:rPr>
        <w:footnoteRef/>
      </w:r>
      <w:r>
        <w:t xml:space="preserve"> H. </w:t>
      </w:r>
      <w:proofErr w:type="spellStart"/>
      <w:r w:rsidRPr="00E40243">
        <w:t>Labayle</w:t>
      </w:r>
      <w:proofErr w:type="spellEnd"/>
      <w:r>
        <w:t xml:space="preserve"> et F. Sudre</w:t>
      </w:r>
      <w:r w:rsidRPr="00E40243">
        <w:t xml:space="preserve">, </w:t>
      </w:r>
      <w:r w:rsidRPr="00E40243">
        <w:rPr>
          <w:i/>
        </w:rPr>
        <w:t>RFDA</w:t>
      </w:r>
      <w:r w:rsidRPr="00E40243">
        <w:t xml:space="preserve"> 2017, n°</w:t>
      </w:r>
      <w:r>
        <w:t xml:space="preserve"> </w:t>
      </w:r>
      <w:r w:rsidRPr="00E40243">
        <w:t>4, p. 753</w:t>
      </w:r>
      <w:r>
        <w:t>.</w:t>
      </w:r>
    </w:p>
  </w:footnote>
  <w:footnote w:id="89">
    <w:p w14:paraId="4C2D9C32" w14:textId="54A2FE88" w:rsidR="008932FA" w:rsidRPr="002C0D78" w:rsidRDefault="008932FA" w:rsidP="00634778">
      <w:pPr>
        <w:pStyle w:val="Notedebasdepage"/>
        <w:spacing w:after="0"/>
      </w:pPr>
      <w:r>
        <w:rPr>
          <w:rStyle w:val="Appelnotedebasdep"/>
        </w:rPr>
        <w:footnoteRef/>
      </w:r>
      <w:r>
        <w:t xml:space="preserve"> J.-S. Bergé, « </w:t>
      </w:r>
      <w:proofErr w:type="spellStart"/>
      <w:r w:rsidRPr="002C0D78">
        <w:t>Avotins</w:t>
      </w:r>
      <w:proofErr w:type="spellEnd"/>
      <w:r w:rsidRPr="002C0D78">
        <w:t xml:space="preserve"> ou le calme qui couve la tempête</w:t>
      </w:r>
      <w:r>
        <w:t> », 26 mai 2016 (</w:t>
      </w:r>
      <w:r w:rsidRPr="002C0D78">
        <w:t>http:</w:t>
      </w:r>
      <w:r>
        <w:t>//www.gdr-</w:t>
      </w:r>
      <w:r w:rsidRPr="002C0D78">
        <w:t>elsj.eu/</w:t>
      </w:r>
      <w:r>
        <w:br/>
      </w:r>
      <w:r w:rsidRPr="002C0D78">
        <w:t>2016/05/26/cooperation-judiciaire-civile/avotins-ou-le-calme-qui-couve-la-tempete/</w:t>
      </w:r>
      <w:r>
        <w:t>).</w:t>
      </w:r>
    </w:p>
  </w:footnote>
  <w:footnote w:id="90">
    <w:p w14:paraId="10B0A8E0" w14:textId="57A04689" w:rsidR="008932FA" w:rsidRPr="00D07D1C" w:rsidRDefault="008932FA" w:rsidP="00634778">
      <w:pPr>
        <w:pStyle w:val="Notedebasdepage"/>
        <w:spacing w:after="0"/>
      </w:pPr>
      <w:r>
        <w:rPr>
          <w:rStyle w:val="Appelnotedebasdep"/>
        </w:rPr>
        <w:footnoteRef/>
      </w:r>
      <w:r>
        <w:t xml:space="preserve"> Voir par exemple les arrêts : CJCE, 17 juillet 2008, </w:t>
      </w:r>
      <w:r w:rsidRPr="00D07D1C">
        <w:rPr>
          <w:i/>
        </w:rPr>
        <w:t>Kozlowski</w:t>
      </w:r>
      <w:r>
        <w:t xml:space="preserve">, Aff. C-66/08 ; CJUE, 16 novembre 2010, </w:t>
      </w:r>
      <w:proofErr w:type="spellStart"/>
      <w:r>
        <w:rPr>
          <w:i/>
        </w:rPr>
        <w:t>Mantello</w:t>
      </w:r>
      <w:proofErr w:type="spellEnd"/>
      <w:r>
        <w:t>,</w:t>
      </w:r>
      <w:r w:rsidR="00C24198">
        <w:t xml:space="preserve"> </w:t>
      </w:r>
      <w:r>
        <w:t xml:space="preserve">Aff. C-261/09 ; CJUE, 29 janvier 2013, </w:t>
      </w:r>
      <w:r>
        <w:rPr>
          <w:i/>
        </w:rPr>
        <w:t>Radu</w:t>
      </w:r>
      <w:r>
        <w:t>,</w:t>
      </w:r>
      <w:r>
        <w:rPr>
          <w:i/>
        </w:rPr>
        <w:t xml:space="preserve"> </w:t>
      </w:r>
      <w:r>
        <w:t xml:space="preserve">Aff. C-396/11 ; l’arrêt </w:t>
      </w:r>
      <w:r>
        <w:rPr>
          <w:i/>
        </w:rPr>
        <w:t>Melloni</w:t>
      </w:r>
      <w:r>
        <w:t xml:space="preserve"> </w:t>
      </w:r>
      <w:proofErr w:type="spellStart"/>
      <w:r>
        <w:t>préc</w:t>
      </w:r>
      <w:proofErr w:type="spellEnd"/>
      <w:r>
        <w:t>.</w:t>
      </w:r>
    </w:p>
  </w:footnote>
  <w:footnote w:id="91">
    <w:p w14:paraId="5B247800" w14:textId="23515315" w:rsidR="008932FA" w:rsidRDefault="008932FA" w:rsidP="00634778">
      <w:pPr>
        <w:pStyle w:val="Notedebasdepage"/>
        <w:spacing w:after="0"/>
      </w:pPr>
      <w:r>
        <w:rPr>
          <w:rStyle w:val="Appelnotedebasdep"/>
        </w:rPr>
        <w:footnoteRef/>
      </w:r>
      <w:r>
        <w:t xml:space="preserve"> E. </w:t>
      </w:r>
      <w:proofErr w:type="spellStart"/>
      <w:r>
        <w:t>Bribosia</w:t>
      </w:r>
      <w:proofErr w:type="spellEnd"/>
      <w:r>
        <w:t xml:space="preserve"> et A. </w:t>
      </w:r>
      <w:proofErr w:type="spellStart"/>
      <w:r>
        <w:t>Weyembergh</w:t>
      </w:r>
      <w:proofErr w:type="spellEnd"/>
      <w:r>
        <w:t xml:space="preserve">, </w:t>
      </w:r>
      <w:r w:rsidRPr="007D346F">
        <w:rPr>
          <w:i/>
        </w:rPr>
        <w:t>op.</w:t>
      </w:r>
      <w:r>
        <w:rPr>
          <w:i/>
        </w:rPr>
        <w:t xml:space="preserve"> </w:t>
      </w:r>
      <w:proofErr w:type="gramStart"/>
      <w:r>
        <w:rPr>
          <w:i/>
        </w:rPr>
        <w:t>cit</w:t>
      </w:r>
      <w:proofErr w:type="gramEnd"/>
      <w:r>
        <w:rPr>
          <w:i/>
        </w:rPr>
        <w:t>.</w:t>
      </w:r>
      <w:r>
        <w:t>,</w:t>
      </w:r>
      <w:r>
        <w:rPr>
          <w:i/>
        </w:rPr>
        <w:t xml:space="preserve"> </w:t>
      </w:r>
      <w:r>
        <w:t xml:space="preserve">p. 495 : dans l’affaire </w:t>
      </w:r>
      <w:proofErr w:type="spellStart"/>
      <w:r w:rsidRPr="00D07D1C">
        <w:rPr>
          <w:i/>
        </w:rPr>
        <w:t>Mantello</w:t>
      </w:r>
      <w:proofErr w:type="spellEnd"/>
      <w:r>
        <w:t>, la Cour « </w:t>
      </w:r>
      <w:r w:rsidRPr="00AF5E5F">
        <w:rPr>
          <w:i/>
        </w:rPr>
        <w:t>paraît</w:t>
      </w:r>
      <w:r>
        <w:rPr>
          <w:i/>
        </w:rPr>
        <w:t xml:space="preserve"> </w:t>
      </w:r>
      <w:r w:rsidRPr="00AF5E5F">
        <w:rPr>
          <w:i/>
        </w:rPr>
        <w:t>ainsi</w:t>
      </w:r>
      <w:r>
        <w:rPr>
          <w:i/>
        </w:rPr>
        <w:t xml:space="preserve"> </w:t>
      </w:r>
      <w:r w:rsidRPr="00AF5E5F">
        <w:rPr>
          <w:i/>
        </w:rPr>
        <w:t>donner</w:t>
      </w:r>
      <w:r>
        <w:rPr>
          <w:i/>
        </w:rPr>
        <w:t xml:space="preserve"> </w:t>
      </w:r>
      <w:r w:rsidRPr="00AF5E5F">
        <w:rPr>
          <w:i/>
        </w:rPr>
        <w:t>clairement</w:t>
      </w:r>
      <w:r>
        <w:rPr>
          <w:i/>
        </w:rPr>
        <w:t xml:space="preserve"> </w:t>
      </w:r>
      <w:r w:rsidRPr="00AF5E5F">
        <w:rPr>
          <w:i/>
        </w:rPr>
        <w:t>son</w:t>
      </w:r>
      <w:r>
        <w:rPr>
          <w:i/>
        </w:rPr>
        <w:t xml:space="preserve"> </w:t>
      </w:r>
      <w:r w:rsidRPr="00AF5E5F">
        <w:rPr>
          <w:i/>
        </w:rPr>
        <w:t>aval</w:t>
      </w:r>
      <w:r>
        <w:rPr>
          <w:i/>
        </w:rPr>
        <w:t xml:space="preserve"> </w:t>
      </w:r>
      <w:r w:rsidRPr="00AF5E5F">
        <w:rPr>
          <w:i/>
        </w:rPr>
        <w:t>à</w:t>
      </w:r>
      <w:r>
        <w:rPr>
          <w:i/>
        </w:rPr>
        <w:t xml:space="preserve"> </w:t>
      </w:r>
      <w:r w:rsidRPr="00AF5E5F">
        <w:rPr>
          <w:i/>
        </w:rPr>
        <w:t>la</w:t>
      </w:r>
      <w:r>
        <w:rPr>
          <w:i/>
        </w:rPr>
        <w:t xml:space="preserve"> </w:t>
      </w:r>
      <w:r w:rsidRPr="00AF5E5F">
        <w:rPr>
          <w:i/>
        </w:rPr>
        <w:t>philosophie</w:t>
      </w:r>
      <w:r>
        <w:rPr>
          <w:i/>
        </w:rPr>
        <w:t xml:space="preserve"> </w:t>
      </w:r>
      <w:r w:rsidRPr="00AF5E5F">
        <w:rPr>
          <w:i/>
        </w:rPr>
        <w:t>qui</w:t>
      </w:r>
      <w:r>
        <w:rPr>
          <w:i/>
        </w:rPr>
        <w:t xml:space="preserve"> </w:t>
      </w:r>
      <w:r w:rsidRPr="00AF5E5F">
        <w:rPr>
          <w:i/>
        </w:rPr>
        <w:t>sous-tend</w:t>
      </w:r>
      <w:r>
        <w:rPr>
          <w:i/>
        </w:rPr>
        <w:t xml:space="preserve"> </w:t>
      </w:r>
      <w:r w:rsidRPr="00AF5E5F">
        <w:rPr>
          <w:i/>
        </w:rPr>
        <w:t>le</w:t>
      </w:r>
      <w:r>
        <w:rPr>
          <w:i/>
        </w:rPr>
        <w:t xml:space="preserve"> </w:t>
      </w:r>
      <w:r w:rsidRPr="00AF5E5F">
        <w:rPr>
          <w:i/>
        </w:rPr>
        <w:t>principe</w:t>
      </w:r>
      <w:r>
        <w:rPr>
          <w:i/>
        </w:rPr>
        <w:t xml:space="preserve"> </w:t>
      </w:r>
      <w:r w:rsidRPr="00AF5E5F">
        <w:rPr>
          <w:i/>
        </w:rPr>
        <w:t>de</w:t>
      </w:r>
      <w:r>
        <w:rPr>
          <w:i/>
        </w:rPr>
        <w:t xml:space="preserve"> </w:t>
      </w:r>
      <w:r w:rsidRPr="00AF5E5F">
        <w:rPr>
          <w:i/>
        </w:rPr>
        <w:t>la</w:t>
      </w:r>
      <w:r>
        <w:rPr>
          <w:i/>
        </w:rPr>
        <w:t xml:space="preserve"> </w:t>
      </w:r>
      <w:r w:rsidRPr="00AF5E5F">
        <w:rPr>
          <w:i/>
        </w:rPr>
        <w:t>reconnaissance</w:t>
      </w:r>
      <w:r>
        <w:rPr>
          <w:i/>
        </w:rPr>
        <w:t xml:space="preserve"> </w:t>
      </w:r>
      <w:r w:rsidRPr="00AF5E5F">
        <w:rPr>
          <w:i/>
        </w:rPr>
        <w:t>mutuelle</w:t>
      </w:r>
      <w:r>
        <w:rPr>
          <w:i/>
        </w:rPr>
        <w:t xml:space="preserve"> </w:t>
      </w:r>
      <w:r w:rsidRPr="00AF5E5F">
        <w:rPr>
          <w:i/>
        </w:rPr>
        <w:t>et</w:t>
      </w:r>
      <w:r>
        <w:rPr>
          <w:i/>
        </w:rPr>
        <w:t xml:space="preserve"> </w:t>
      </w:r>
      <w:r w:rsidRPr="00AF5E5F">
        <w:rPr>
          <w:i/>
        </w:rPr>
        <w:t>consiste</w:t>
      </w:r>
      <w:r>
        <w:rPr>
          <w:i/>
        </w:rPr>
        <w:t xml:space="preserve"> </w:t>
      </w:r>
      <w:r w:rsidRPr="00AF5E5F">
        <w:rPr>
          <w:i/>
        </w:rPr>
        <w:t>à</w:t>
      </w:r>
      <w:r>
        <w:rPr>
          <w:i/>
        </w:rPr>
        <w:t xml:space="preserve"> </w:t>
      </w:r>
      <w:r w:rsidRPr="00AF5E5F">
        <w:rPr>
          <w:i/>
        </w:rPr>
        <w:t>effectuer</w:t>
      </w:r>
      <w:r>
        <w:rPr>
          <w:i/>
        </w:rPr>
        <w:t xml:space="preserve"> </w:t>
      </w:r>
      <w:r w:rsidRPr="00AF5E5F">
        <w:rPr>
          <w:i/>
        </w:rPr>
        <w:t>l</w:t>
      </w:r>
      <w:r>
        <w:rPr>
          <w:i/>
        </w:rPr>
        <w:t>’</w:t>
      </w:r>
      <w:r w:rsidRPr="00AF5E5F">
        <w:rPr>
          <w:i/>
        </w:rPr>
        <w:t>essentiel</w:t>
      </w:r>
      <w:r>
        <w:rPr>
          <w:i/>
        </w:rPr>
        <w:t xml:space="preserve"> </w:t>
      </w:r>
      <w:r w:rsidRPr="00AF5E5F">
        <w:rPr>
          <w:i/>
        </w:rPr>
        <w:t>des</w:t>
      </w:r>
      <w:r>
        <w:rPr>
          <w:i/>
        </w:rPr>
        <w:t xml:space="preserve"> </w:t>
      </w:r>
      <w:r w:rsidRPr="00AF5E5F">
        <w:rPr>
          <w:i/>
        </w:rPr>
        <w:t>contrôles</w:t>
      </w:r>
      <w:r>
        <w:rPr>
          <w:i/>
        </w:rPr>
        <w:t xml:space="preserve"> </w:t>
      </w:r>
      <w:r w:rsidRPr="00AF5E5F">
        <w:rPr>
          <w:i/>
        </w:rPr>
        <w:t>dans</w:t>
      </w:r>
      <w:r>
        <w:rPr>
          <w:i/>
        </w:rPr>
        <w:t xml:space="preserve"> </w:t>
      </w:r>
      <w:r w:rsidRPr="00AF5E5F">
        <w:rPr>
          <w:i/>
        </w:rPr>
        <w:t>l</w:t>
      </w:r>
      <w:r>
        <w:rPr>
          <w:i/>
        </w:rPr>
        <w:t>’</w:t>
      </w:r>
      <w:r w:rsidRPr="00AF5E5F">
        <w:rPr>
          <w:i/>
        </w:rPr>
        <w:t>État</w:t>
      </w:r>
      <w:r>
        <w:rPr>
          <w:i/>
        </w:rPr>
        <w:t xml:space="preserve"> </w:t>
      </w:r>
      <w:r w:rsidRPr="00AF5E5F">
        <w:rPr>
          <w:i/>
        </w:rPr>
        <w:t>d</w:t>
      </w:r>
      <w:r>
        <w:rPr>
          <w:i/>
        </w:rPr>
        <w:t>’</w:t>
      </w:r>
      <w:r w:rsidRPr="00AF5E5F">
        <w:rPr>
          <w:i/>
        </w:rPr>
        <w:t>émission</w:t>
      </w:r>
      <w:r>
        <w:rPr>
          <w:i/>
        </w:rPr>
        <w:t xml:space="preserve"> </w:t>
      </w:r>
      <w:r w:rsidRPr="00AF5E5F">
        <w:rPr>
          <w:i/>
        </w:rPr>
        <w:t>et</w:t>
      </w:r>
      <w:r>
        <w:rPr>
          <w:i/>
        </w:rPr>
        <w:t xml:space="preserve"> </w:t>
      </w:r>
      <w:r w:rsidRPr="00AF5E5F">
        <w:rPr>
          <w:i/>
        </w:rPr>
        <w:t>à éviter autant que possible les doubles vérifications</w:t>
      </w:r>
      <w:r>
        <w:t xml:space="preserve"> », alors qu’au contraire, pour l’avocat général Yves Bot, les dispositions de la décision-cadre ne s’opposaient pas à l’exercice sous certains conditions d’un double examen du principe </w:t>
      </w:r>
      <w:r>
        <w:rPr>
          <w:i/>
        </w:rPr>
        <w:t>ne bis in idem</w:t>
      </w:r>
      <w:r>
        <w:t>.</w:t>
      </w:r>
    </w:p>
  </w:footnote>
  <w:footnote w:id="92">
    <w:p w14:paraId="7110AD92" w14:textId="2E694BA9" w:rsidR="008932FA" w:rsidRPr="00A83695" w:rsidRDefault="008932FA" w:rsidP="00634778">
      <w:pPr>
        <w:pStyle w:val="Notedebasdepage"/>
        <w:spacing w:after="0"/>
        <w:jc w:val="left"/>
      </w:pPr>
      <w:r>
        <w:rPr>
          <w:rStyle w:val="Appelnotedebasdep"/>
        </w:rPr>
        <w:footnoteRef/>
      </w:r>
      <w:r w:rsidRPr="00A83695">
        <w:t xml:space="preserve"> CJUE, 30 mai 2013, </w:t>
      </w:r>
      <w:r w:rsidRPr="00A83695">
        <w:rPr>
          <w:i/>
        </w:rPr>
        <w:t>Jeremy F.</w:t>
      </w:r>
      <w:r w:rsidRPr="00A83695">
        <w:t>, A</w:t>
      </w:r>
      <w:r>
        <w:t>ff. C-168/13 PPU.</w:t>
      </w:r>
    </w:p>
  </w:footnote>
  <w:footnote w:id="93">
    <w:p w14:paraId="1FAA4014" w14:textId="15B30825" w:rsidR="008932FA" w:rsidRPr="00A140FC" w:rsidRDefault="008932FA" w:rsidP="00634778">
      <w:pPr>
        <w:pStyle w:val="Notedebasdepage"/>
        <w:spacing w:after="0"/>
      </w:pPr>
      <w:r>
        <w:rPr>
          <w:rStyle w:val="Appelnotedebasdep"/>
        </w:rPr>
        <w:footnoteRef/>
      </w:r>
      <w:r w:rsidRPr="00D8230F">
        <w:rPr>
          <w:lang w:val="en-US"/>
        </w:rPr>
        <w:t xml:space="preserve"> CJUE, 21 </w:t>
      </w:r>
      <w:proofErr w:type="spellStart"/>
      <w:r w:rsidRPr="00D8230F">
        <w:rPr>
          <w:lang w:val="en-US"/>
        </w:rPr>
        <w:t>décembre</w:t>
      </w:r>
      <w:proofErr w:type="spellEnd"/>
      <w:r w:rsidRPr="00D8230F">
        <w:rPr>
          <w:lang w:val="en-US"/>
        </w:rPr>
        <w:t xml:space="preserve"> 2011, </w:t>
      </w:r>
      <w:r w:rsidRPr="00D8230F">
        <w:rPr>
          <w:i/>
          <w:lang w:val="en-US"/>
        </w:rPr>
        <w:t>N.S. c. S</w:t>
      </w:r>
      <w:r>
        <w:rPr>
          <w:i/>
          <w:lang w:val="en-US"/>
        </w:rPr>
        <w:t>ecretary of State for the Home Department</w:t>
      </w:r>
      <w:r>
        <w:rPr>
          <w:lang w:val="en-US"/>
        </w:rPr>
        <w:t xml:space="preserve">, Aff. </w:t>
      </w:r>
      <w:r w:rsidRPr="00A140FC">
        <w:t>C-411/10 et C-493/10.</w:t>
      </w:r>
    </w:p>
  </w:footnote>
  <w:footnote w:id="94">
    <w:p w14:paraId="0AE0EDD8" w14:textId="3BD4B188" w:rsidR="008932FA" w:rsidRPr="005B0C51" w:rsidRDefault="008932FA" w:rsidP="00634778">
      <w:pPr>
        <w:pStyle w:val="Notedebasdepage"/>
        <w:spacing w:after="0"/>
      </w:pPr>
      <w:r>
        <w:rPr>
          <w:rStyle w:val="Appelnotedebasdep"/>
        </w:rPr>
        <w:footnoteRef/>
      </w:r>
      <w:r>
        <w:t xml:space="preserve"> Pour des illustrations, voir </w:t>
      </w:r>
      <w:r w:rsidRPr="00861A20">
        <w:t>C. Haguenau-</w:t>
      </w:r>
      <w:proofErr w:type="spellStart"/>
      <w:r w:rsidRPr="00861A20">
        <w:t>Moizard</w:t>
      </w:r>
      <w:proofErr w:type="spellEnd"/>
      <w:r w:rsidRPr="00861A20">
        <w:t xml:space="preserve">, </w:t>
      </w:r>
      <w:r>
        <w:t>« </w:t>
      </w:r>
      <w:r w:rsidRPr="00861A20">
        <w:t>Les bienfaits de la défiance mutuelle</w:t>
      </w:r>
      <w:r>
        <w:t> »</w:t>
      </w:r>
      <w:r w:rsidRPr="00861A20">
        <w:t xml:space="preserve">, in </w:t>
      </w:r>
      <w:r w:rsidRPr="00861A20">
        <w:rPr>
          <w:rStyle w:val="st"/>
          <w:i/>
        </w:rPr>
        <w:t>Europe(s), Droit(s) européen(s) – Une passion d</w:t>
      </w:r>
      <w:r>
        <w:rPr>
          <w:rStyle w:val="st"/>
          <w:i/>
        </w:rPr>
        <w:t>’</w:t>
      </w:r>
      <w:r w:rsidRPr="00861A20">
        <w:rPr>
          <w:rStyle w:val="st"/>
          <w:i/>
        </w:rPr>
        <w:t>universitaire. Liber Amicorum en l</w:t>
      </w:r>
      <w:r>
        <w:rPr>
          <w:rStyle w:val="st"/>
          <w:i/>
        </w:rPr>
        <w:t>’</w:t>
      </w:r>
      <w:r w:rsidRPr="00861A20">
        <w:rPr>
          <w:rStyle w:val="st"/>
          <w:i/>
        </w:rPr>
        <w:t>honneur du professeur Vlad Constantinesco</w:t>
      </w:r>
      <w:r>
        <w:rPr>
          <w:rStyle w:val="st"/>
        </w:rPr>
        <w:t xml:space="preserve">, Bruxelles, Bruylant, </w:t>
      </w:r>
      <w:r w:rsidRPr="00861A20">
        <w:t>2015</w:t>
      </w:r>
      <w:r>
        <w:t>, p. 226.</w:t>
      </w:r>
    </w:p>
  </w:footnote>
  <w:footnote w:id="95">
    <w:p w14:paraId="72113608" w14:textId="1AEDA935" w:rsidR="008932FA" w:rsidRPr="006778B6" w:rsidRDefault="008932FA" w:rsidP="00634778">
      <w:pPr>
        <w:pStyle w:val="Notedebasdepage"/>
        <w:spacing w:after="0"/>
      </w:pPr>
      <w:r>
        <w:rPr>
          <w:rStyle w:val="Appelnotedebasdep"/>
        </w:rPr>
        <w:footnoteRef/>
      </w:r>
      <w:r w:rsidR="0069763C">
        <w:t xml:space="preserve"> Voir notamment les arrêts </w:t>
      </w:r>
      <w:proofErr w:type="spellStart"/>
      <w:r w:rsidR="0069763C">
        <w:t>préc</w:t>
      </w:r>
      <w:proofErr w:type="spellEnd"/>
      <w:r w:rsidR="0069763C">
        <w:t xml:space="preserve">. </w:t>
      </w:r>
      <w:r w:rsidRPr="00C24198">
        <w:rPr>
          <w:i/>
        </w:rPr>
        <w:t>M.S</w:t>
      </w:r>
      <w:r w:rsidRPr="007C48D2">
        <w:rPr>
          <w:i/>
        </w:rPr>
        <w:t xml:space="preserve">.S. c. Belgique et </w:t>
      </w:r>
      <w:proofErr w:type="spellStart"/>
      <w:r w:rsidRPr="007C48D2">
        <w:rPr>
          <w:i/>
        </w:rPr>
        <w:t>Grêce</w:t>
      </w:r>
      <w:proofErr w:type="spellEnd"/>
      <w:r w:rsidR="0069763C">
        <w:rPr>
          <w:i/>
        </w:rPr>
        <w:t> </w:t>
      </w:r>
      <w:r w:rsidR="0069763C">
        <w:t xml:space="preserve">; </w:t>
      </w:r>
      <w:proofErr w:type="spellStart"/>
      <w:r w:rsidRPr="007C48D2">
        <w:rPr>
          <w:i/>
        </w:rPr>
        <w:t>Tarakhel</w:t>
      </w:r>
      <w:proofErr w:type="spellEnd"/>
      <w:r w:rsidRPr="007C48D2">
        <w:rPr>
          <w:i/>
        </w:rPr>
        <w:t xml:space="preserve"> c. Suisse</w:t>
      </w:r>
      <w:r w:rsidR="0069763C">
        <w:rPr>
          <w:i/>
        </w:rPr>
        <w:t> </w:t>
      </w:r>
      <w:r w:rsidR="0069763C">
        <w:t xml:space="preserve">; et </w:t>
      </w:r>
      <w:proofErr w:type="spellStart"/>
      <w:r>
        <w:rPr>
          <w:i/>
        </w:rPr>
        <w:t>Avotins</w:t>
      </w:r>
      <w:proofErr w:type="spellEnd"/>
      <w:r>
        <w:t xml:space="preserve"> </w:t>
      </w:r>
      <w:r>
        <w:rPr>
          <w:i/>
        </w:rPr>
        <w:t>c. Lettonie</w:t>
      </w:r>
      <w:r w:rsidR="0069763C">
        <w:t>.</w:t>
      </w:r>
    </w:p>
  </w:footnote>
  <w:footnote w:id="96">
    <w:p w14:paraId="427B7D64" w14:textId="77777777" w:rsidR="008932FA" w:rsidRDefault="008932FA" w:rsidP="00634778">
      <w:pPr>
        <w:pStyle w:val="Notedebasdepage"/>
        <w:spacing w:after="0"/>
      </w:pPr>
      <w:r>
        <w:rPr>
          <w:rStyle w:val="Appelnotedebasdep"/>
        </w:rPr>
        <w:footnoteRef/>
      </w:r>
      <w:r>
        <w:t xml:space="preserve"> Arrêt </w:t>
      </w:r>
      <w:proofErr w:type="spellStart"/>
      <w:r>
        <w:rPr>
          <w:i/>
        </w:rPr>
        <w:t>Aranyosi</w:t>
      </w:r>
      <w:proofErr w:type="spellEnd"/>
      <w:r>
        <w:rPr>
          <w:i/>
        </w:rPr>
        <w:t xml:space="preserve"> et </w:t>
      </w:r>
      <w:proofErr w:type="spellStart"/>
      <w:r w:rsidRPr="007D463C">
        <w:rPr>
          <w:i/>
        </w:rPr>
        <w:t>Căldăraru</w:t>
      </w:r>
      <w:proofErr w:type="spellEnd"/>
      <w:r>
        <w:t xml:space="preserve"> </w:t>
      </w:r>
      <w:proofErr w:type="spellStart"/>
      <w:r>
        <w:t>préc</w:t>
      </w:r>
      <w:proofErr w:type="spellEnd"/>
      <w:r>
        <w:t>.</w:t>
      </w:r>
    </w:p>
  </w:footnote>
  <w:footnote w:id="97">
    <w:p w14:paraId="51221BAD" w14:textId="1CED1E6F" w:rsidR="008932FA" w:rsidRDefault="008932FA" w:rsidP="00634778">
      <w:pPr>
        <w:pStyle w:val="Notedebasdepage"/>
        <w:spacing w:after="0"/>
      </w:pPr>
      <w:r>
        <w:rPr>
          <w:rStyle w:val="Appelnotedebasdep"/>
        </w:rPr>
        <w:footnoteRef/>
      </w:r>
      <w:r>
        <w:t xml:space="preserve"> CJUE, 16 février 2017, </w:t>
      </w:r>
      <w:r w:rsidRPr="00B87AA8">
        <w:rPr>
          <w:i/>
        </w:rPr>
        <w:t>C.K. c. Slovénie</w:t>
      </w:r>
      <w:r>
        <w:t>, Aff. C-578/16 PPU.</w:t>
      </w:r>
    </w:p>
  </w:footnote>
  <w:footnote w:id="98">
    <w:p w14:paraId="5E2B3CB5" w14:textId="138977B6" w:rsidR="008932FA" w:rsidRDefault="008932FA" w:rsidP="00634778">
      <w:pPr>
        <w:pStyle w:val="Notedebasdepage"/>
        <w:spacing w:after="0"/>
      </w:pPr>
      <w:r>
        <w:rPr>
          <w:rStyle w:val="Appelnotedebasdep"/>
        </w:rPr>
        <w:footnoteRef/>
      </w:r>
      <w:r>
        <w:t xml:space="preserve"> Avis 2/13 </w:t>
      </w:r>
      <w:proofErr w:type="spellStart"/>
      <w:r>
        <w:t>préc</w:t>
      </w:r>
      <w:proofErr w:type="spellEnd"/>
      <w:r>
        <w:t>., pt. 191.</w:t>
      </w:r>
    </w:p>
  </w:footnote>
  <w:footnote w:id="99">
    <w:p w14:paraId="6C9E1B9D" w14:textId="062E185F" w:rsidR="008932FA" w:rsidRDefault="008932FA" w:rsidP="00634778">
      <w:pPr>
        <w:pStyle w:val="Notedebasdepage"/>
        <w:spacing w:after="0"/>
      </w:pPr>
      <w:r>
        <w:rPr>
          <w:rStyle w:val="Appelnotedebasdep"/>
        </w:rPr>
        <w:footnoteRef/>
      </w:r>
      <w:r>
        <w:t xml:space="preserve"> Pour une présentation des cas où il peut être fait exception à l’automaticité induite par la confiance mutuelle, </w:t>
      </w:r>
      <w:r w:rsidRPr="0069763C">
        <w:rPr>
          <w:spacing w:val="-2"/>
        </w:rPr>
        <w:t xml:space="preserve">voir les conclusions de l’avocat général </w:t>
      </w:r>
      <w:proofErr w:type="spellStart"/>
      <w:r w:rsidR="0069763C" w:rsidRPr="0069763C">
        <w:rPr>
          <w:spacing w:val="-2"/>
        </w:rPr>
        <w:t>Evgeni</w:t>
      </w:r>
      <w:proofErr w:type="spellEnd"/>
      <w:r w:rsidR="0069763C" w:rsidRPr="0069763C">
        <w:rPr>
          <w:spacing w:val="-2"/>
        </w:rPr>
        <w:t xml:space="preserve"> </w:t>
      </w:r>
      <w:proofErr w:type="spellStart"/>
      <w:r w:rsidRPr="0069763C">
        <w:rPr>
          <w:spacing w:val="-2"/>
        </w:rPr>
        <w:t>Tanchev</w:t>
      </w:r>
      <w:proofErr w:type="spellEnd"/>
      <w:r w:rsidRPr="0069763C">
        <w:rPr>
          <w:spacing w:val="-2"/>
        </w:rPr>
        <w:t xml:space="preserve"> du 8 mars 2018 dans l’affaire </w:t>
      </w:r>
      <w:proofErr w:type="spellStart"/>
      <w:r w:rsidRPr="0069763C">
        <w:rPr>
          <w:i/>
          <w:spacing w:val="-2"/>
        </w:rPr>
        <w:t>Donnellan</w:t>
      </w:r>
      <w:proofErr w:type="spellEnd"/>
      <w:r w:rsidRPr="0069763C">
        <w:rPr>
          <w:spacing w:val="-2"/>
        </w:rPr>
        <w:t xml:space="preserve"> C-34/17</w:t>
      </w:r>
      <w:r w:rsidR="0069763C" w:rsidRPr="0069763C">
        <w:rPr>
          <w:spacing w:val="-2"/>
        </w:rPr>
        <w:t>, pt. 48</w:t>
      </w:r>
      <w:r w:rsidR="0069763C">
        <w:t>.</w:t>
      </w:r>
    </w:p>
    <w:p w14:paraId="5933BAF0" w14:textId="790E5EC2" w:rsidR="008932FA" w:rsidRPr="0069763C" w:rsidRDefault="008932FA" w:rsidP="0069763C">
      <w:pPr>
        <w:pStyle w:val="Notedebasdepage"/>
        <w:spacing w:after="0"/>
      </w:pPr>
      <w:r>
        <w:t xml:space="preserve">Une question perdure s’agissant de la conformité du standard des « circonstances exceptionnelles » aux exigences de la juridiction strasbourgeoise, dans la mesure où il n’est pas totalement évidemment que la Cour de justice accepte de manière générale de reconnaître l’existence de telles circonstances en dehors d’une défaillance systémique dans la protection des droits (voir la contribution à cet ouvrage du Professeur Elsa Bernard). La mention, dans l’affaire </w:t>
      </w:r>
      <w:r w:rsidR="004F217D">
        <w:rPr>
          <w:i/>
        </w:rPr>
        <w:t>C.</w:t>
      </w:r>
      <w:r>
        <w:rPr>
          <w:i/>
        </w:rPr>
        <w:t xml:space="preserve">K. c. Slovénie </w:t>
      </w:r>
      <w:proofErr w:type="spellStart"/>
      <w:r>
        <w:t>préc</w:t>
      </w:r>
      <w:proofErr w:type="spellEnd"/>
      <w:r>
        <w:t xml:space="preserve">., de la situation individuelle « exceptionnelle » de la requérante et du risque de traitement inhumain et dégradant, même en absence de toute défaillance systémique, milite en faveur de l’hypothèse d’une mise en conformité. Dans cette affaire où la reconnaissance mutuelle n’est pas directement en cause, la Cour développe son raisonnement en considérant l’exigence de confiance mutuelle, telle qu’elle avait pu la consacrer dans l’arrêt </w:t>
      </w:r>
      <w:proofErr w:type="spellStart"/>
      <w:r w:rsidRPr="007A2FD7">
        <w:rPr>
          <w:i/>
        </w:rPr>
        <w:t>Abdullahi</w:t>
      </w:r>
      <w:proofErr w:type="spellEnd"/>
      <w:r>
        <w:t xml:space="preserve"> (CJUE, 10 décembre 2013, Aff. C</w:t>
      </w:r>
      <w:r>
        <w:noBreakHyphen/>
        <w:t xml:space="preserve">394/12). En conséquence, l’assouplissement sous l’égide du Règlement Dublin III des conséquences de la confiance mutuelle paraît transposable à l’ensemble des contentieux fondés sur cette valeur </w:t>
      </w:r>
      <w:r w:rsidRPr="008311AC">
        <w:rPr>
          <w:spacing w:val="-2"/>
        </w:rPr>
        <w:t>fondamentale, et donc en premier lieu aux litiges reposant sur l</w:t>
      </w:r>
      <w:r>
        <w:rPr>
          <w:spacing w:val="-2"/>
        </w:rPr>
        <w:t>’</w:t>
      </w:r>
      <w:r w:rsidRPr="008311AC">
        <w:rPr>
          <w:spacing w:val="-2"/>
        </w:rPr>
        <w:t>application du principe de reconnaissance mutuelle.</w:t>
      </w:r>
      <w:r>
        <w:rPr>
          <w:spacing w:val="-2"/>
        </w:rPr>
        <w:t xml:space="preserve"> Cela étant, </w:t>
      </w:r>
      <w:r>
        <w:t>la position récemment adoptée par la Cour, à propos de l’examen par l’Etat requis de la psychologie d’un mineur visé par un mandat d’arrêt européen, témoigne de ce qu’elle s’attache toujours à assurer l’effectivité des effets automatiques en principe attachés à la reconnaissance mutuelle (</w:t>
      </w:r>
      <w:r w:rsidRPr="00C07C0E">
        <w:t xml:space="preserve">CJUE, </w:t>
      </w:r>
      <w:r>
        <w:t xml:space="preserve">23 janvier 2018, </w:t>
      </w:r>
      <w:proofErr w:type="spellStart"/>
      <w:r w:rsidRPr="00C07C0E">
        <w:rPr>
          <w:i/>
        </w:rPr>
        <w:t>Petrowski</w:t>
      </w:r>
      <w:proofErr w:type="spellEnd"/>
      <w:r>
        <w:t>,</w:t>
      </w:r>
      <w:r w:rsidRPr="00C07C0E">
        <w:t xml:space="preserve"> Aff. C-367/16</w:t>
      </w:r>
      <w:r>
        <w:t>)</w:t>
      </w:r>
      <w:r w:rsidR="0069763C">
        <w:t> ; tandis que de son côté, la juridiction strasbourgeoise a fait primer l’intérêt supérieur de l’enfant sur le respect des règles de procédures imposées par le règlement</w:t>
      </w:r>
      <w:r w:rsidR="001C60EC">
        <w:t xml:space="preserve"> 2201/2003</w:t>
      </w:r>
      <w:r w:rsidR="0069763C">
        <w:t xml:space="preserve"> au nom de la reconnaissance mutuelle (</w:t>
      </w:r>
      <w:r w:rsidR="0069763C" w:rsidRPr="0069763C">
        <w:t>CEDH, 1</w:t>
      </w:r>
      <w:r w:rsidR="0069763C" w:rsidRPr="0069763C">
        <w:rPr>
          <w:vertAlign w:val="superscript"/>
        </w:rPr>
        <w:t>er</w:t>
      </w:r>
      <w:r w:rsidR="0069763C" w:rsidRPr="0069763C">
        <w:t xml:space="preserve"> févr</w:t>
      </w:r>
      <w:r w:rsidR="0069763C">
        <w:t xml:space="preserve">ier 2018, </w:t>
      </w:r>
      <w:r w:rsidR="0069763C" w:rsidRPr="0069763C">
        <w:rPr>
          <w:i/>
        </w:rPr>
        <w:t>M.K</w:t>
      </w:r>
      <w:r w:rsidR="0069763C" w:rsidRPr="0069763C">
        <w:rPr>
          <w:i/>
        </w:rPr>
        <w:t>. c.</w:t>
      </w:r>
      <w:r w:rsidR="0069763C" w:rsidRPr="0069763C">
        <w:rPr>
          <w:i/>
        </w:rPr>
        <w:t xml:space="preserve"> Grèce</w:t>
      </w:r>
      <w:r w:rsidR="0069763C">
        <w:t>, n°51312/16).</w:t>
      </w:r>
    </w:p>
  </w:footnote>
  <w:footnote w:id="100">
    <w:p w14:paraId="2BFB1F4B" w14:textId="6B562C45" w:rsidR="008932FA" w:rsidRPr="00A83695" w:rsidRDefault="008932FA" w:rsidP="00634778">
      <w:pPr>
        <w:pStyle w:val="Notedebasdepage"/>
        <w:spacing w:after="0"/>
      </w:pPr>
      <w:r>
        <w:rPr>
          <w:rStyle w:val="Appelnotedebasdep"/>
        </w:rPr>
        <w:footnoteRef/>
      </w:r>
      <w:r w:rsidRPr="00A83695">
        <w:t xml:space="preserve"> V. </w:t>
      </w:r>
      <w:proofErr w:type="spellStart"/>
      <w:r w:rsidRPr="00A83695">
        <w:t>Mitsilegas</w:t>
      </w:r>
      <w:proofErr w:type="spellEnd"/>
      <w:r w:rsidRPr="00A83695">
        <w:t xml:space="preserve">, </w:t>
      </w:r>
      <w:r w:rsidRPr="00A83695">
        <w:rPr>
          <w:i/>
        </w:rPr>
        <w:t xml:space="preserve">op. </w:t>
      </w:r>
      <w:proofErr w:type="gramStart"/>
      <w:r w:rsidRPr="00A83695">
        <w:rPr>
          <w:i/>
        </w:rPr>
        <w:t>cit</w:t>
      </w:r>
      <w:proofErr w:type="gramEnd"/>
      <w:r w:rsidRPr="00A83695">
        <w:rPr>
          <w:i/>
        </w:rPr>
        <w:t>.</w:t>
      </w:r>
      <w:r w:rsidRPr="00A83695">
        <w:t>, p. 371 (traduit par nos soins).</w:t>
      </w:r>
    </w:p>
  </w:footnote>
  <w:footnote w:id="101">
    <w:p w14:paraId="084A13E3" w14:textId="46782F2D" w:rsidR="008932FA" w:rsidRPr="008C7E4D" w:rsidRDefault="008932FA" w:rsidP="0069548C">
      <w:pPr>
        <w:pStyle w:val="Notedebasdepage"/>
        <w:spacing w:after="0"/>
      </w:pPr>
      <w:r>
        <w:rPr>
          <w:rStyle w:val="Appelnotedebasdep"/>
        </w:rPr>
        <w:footnoteRef/>
      </w:r>
      <w:r>
        <w:t xml:space="preserve"> Voir en faveur d’un tel cadrage juridictionnel de la confiance mutuelle dans l’entraide entre Etats : H. </w:t>
      </w:r>
      <w:proofErr w:type="spellStart"/>
      <w:r>
        <w:t>Labayle</w:t>
      </w:r>
      <w:proofErr w:type="spellEnd"/>
      <w:r>
        <w:t xml:space="preserve">, « Refonder l’espace de liberté, de sécurité et de justice ... », </w:t>
      </w:r>
      <w:r>
        <w:rPr>
          <w:i/>
        </w:rPr>
        <w:t xml:space="preserve">op. </w:t>
      </w:r>
      <w:proofErr w:type="gramStart"/>
      <w:r>
        <w:rPr>
          <w:i/>
        </w:rPr>
        <w:t>cit</w:t>
      </w:r>
      <w:proofErr w:type="gramEnd"/>
      <w:r>
        <w:rPr>
          <w:i/>
        </w:rPr>
        <w:t>.</w:t>
      </w:r>
      <w:r>
        <w:t>, p. 201.</w:t>
      </w:r>
    </w:p>
  </w:footnote>
  <w:footnote w:id="102">
    <w:p w14:paraId="47C1957F" w14:textId="0869ED62" w:rsidR="000153C5" w:rsidRDefault="000153C5" w:rsidP="000153C5">
      <w:pPr>
        <w:pStyle w:val="Notedebasdepage"/>
        <w:spacing w:after="0"/>
      </w:pPr>
      <w:r>
        <w:rPr>
          <w:rStyle w:val="Appelnotedebasdep"/>
        </w:rPr>
        <w:footnoteRef/>
      </w:r>
      <w:r>
        <w:t xml:space="preserve"> </w:t>
      </w:r>
      <w:r w:rsidRPr="006F55F1">
        <w:t xml:space="preserve">G. </w:t>
      </w:r>
      <w:proofErr w:type="spellStart"/>
      <w:r w:rsidRPr="006F55F1">
        <w:t>Vernimmen</w:t>
      </w:r>
      <w:proofErr w:type="spellEnd"/>
      <w:r w:rsidRPr="006F55F1">
        <w:t xml:space="preserve">-Van </w:t>
      </w:r>
      <w:proofErr w:type="spellStart"/>
      <w:r w:rsidRPr="006F55F1">
        <w:t>Tiggelen</w:t>
      </w:r>
      <w:proofErr w:type="spellEnd"/>
      <w:r w:rsidRPr="006F55F1">
        <w:t xml:space="preserve"> et L. </w:t>
      </w:r>
      <w:proofErr w:type="spellStart"/>
      <w:r w:rsidRPr="006F55F1">
        <w:t>Surano</w:t>
      </w:r>
      <w:proofErr w:type="spellEnd"/>
      <w:r w:rsidRPr="006F55F1">
        <w:t xml:space="preserve">, </w:t>
      </w:r>
      <w:r>
        <w:rPr>
          <w:i/>
        </w:rPr>
        <w:t xml:space="preserve">op. </w:t>
      </w:r>
      <w:proofErr w:type="gramStart"/>
      <w:r>
        <w:rPr>
          <w:i/>
        </w:rPr>
        <w:t>cit</w:t>
      </w:r>
      <w:proofErr w:type="gramEnd"/>
      <w:r>
        <w:rPr>
          <w:i/>
        </w:rPr>
        <w:t>.</w:t>
      </w:r>
      <w:r w:rsidRPr="006F55F1">
        <w:t>,</w:t>
      </w:r>
      <w:r>
        <w:t xml:space="preserve"> p. 23</w:t>
      </w:r>
      <w:r w:rsidRPr="0069548C">
        <w:t>.</w:t>
      </w:r>
    </w:p>
  </w:footnote>
  <w:footnote w:id="103">
    <w:p w14:paraId="1C6B96AB" w14:textId="548F22E1" w:rsidR="000153C5" w:rsidRDefault="000153C5" w:rsidP="008E60FA">
      <w:pPr>
        <w:pStyle w:val="Notedebasdepage"/>
        <w:spacing w:after="0"/>
      </w:pPr>
      <w:r>
        <w:rPr>
          <w:rStyle w:val="Appelnotedebasdep"/>
        </w:rPr>
        <w:footnoteRef/>
      </w:r>
      <w:r>
        <w:t xml:space="preserve"> </w:t>
      </w:r>
      <w:r w:rsidRPr="000153C5">
        <w:t xml:space="preserve">Pour une présentation des principaux instruments adoptés, voir V. </w:t>
      </w:r>
      <w:proofErr w:type="spellStart"/>
      <w:r w:rsidRPr="000153C5">
        <w:t>Mitsilegas</w:t>
      </w:r>
      <w:proofErr w:type="spellEnd"/>
      <w:r w:rsidRPr="000153C5">
        <w:t xml:space="preserve">, </w:t>
      </w:r>
      <w:r w:rsidRPr="000153C5">
        <w:rPr>
          <w:i/>
        </w:rPr>
        <w:t xml:space="preserve">op. </w:t>
      </w:r>
      <w:proofErr w:type="gramStart"/>
      <w:r w:rsidRPr="000153C5">
        <w:rPr>
          <w:i/>
        </w:rPr>
        <w:t>cit</w:t>
      </w:r>
      <w:proofErr w:type="gramEnd"/>
      <w:r w:rsidRPr="000153C5">
        <w:t>., p. 323-335.</w:t>
      </w:r>
    </w:p>
  </w:footnote>
  <w:footnote w:id="104">
    <w:p w14:paraId="4EC0CB9C" w14:textId="2D797E8F" w:rsidR="008932FA" w:rsidRPr="00AD24A2" w:rsidRDefault="008932FA" w:rsidP="00634778">
      <w:pPr>
        <w:pStyle w:val="Notedebasdepage"/>
        <w:spacing w:after="0"/>
      </w:pPr>
      <w:r>
        <w:rPr>
          <w:rStyle w:val="Appelnotedebasdep"/>
        </w:rPr>
        <w:footnoteRef/>
      </w:r>
      <w:r w:rsidRPr="00AD24A2">
        <w:t xml:space="preserve"> </w:t>
      </w:r>
      <w:r w:rsidRPr="006F55F1">
        <w:t xml:space="preserve">G. </w:t>
      </w:r>
      <w:proofErr w:type="spellStart"/>
      <w:r w:rsidRPr="006F55F1">
        <w:t>Vernimmen</w:t>
      </w:r>
      <w:proofErr w:type="spellEnd"/>
      <w:r w:rsidRPr="006F55F1">
        <w:t xml:space="preserve">-Van </w:t>
      </w:r>
      <w:proofErr w:type="spellStart"/>
      <w:r w:rsidRPr="006F55F1">
        <w:t>Tiggelen</w:t>
      </w:r>
      <w:proofErr w:type="spellEnd"/>
      <w:r w:rsidRPr="006F55F1">
        <w:t xml:space="preserve"> et L. </w:t>
      </w:r>
      <w:proofErr w:type="spellStart"/>
      <w:r w:rsidRPr="006F55F1">
        <w:t>Surano</w:t>
      </w:r>
      <w:proofErr w:type="spellEnd"/>
      <w:r>
        <w:t xml:space="preserve">, </w:t>
      </w:r>
      <w:r>
        <w:rPr>
          <w:i/>
        </w:rPr>
        <w:t>op. ci</w:t>
      </w:r>
      <w:r w:rsidRPr="00AD24A2">
        <w:rPr>
          <w:i/>
        </w:rPr>
        <w:t>.</w:t>
      </w:r>
      <w:r w:rsidRPr="00AD24A2">
        <w:t xml:space="preserve">, p. 20. </w:t>
      </w:r>
    </w:p>
  </w:footnote>
  <w:footnote w:id="105">
    <w:p w14:paraId="7D540070" w14:textId="1B894386" w:rsidR="008932FA" w:rsidRPr="00811D46" w:rsidRDefault="008932FA" w:rsidP="00634778">
      <w:pPr>
        <w:pStyle w:val="Notedebasdepage"/>
        <w:spacing w:after="0"/>
        <w:rPr>
          <w:lang w:val="en-US"/>
        </w:rPr>
      </w:pPr>
      <w:r>
        <w:rPr>
          <w:rStyle w:val="Appelnotedebasdep"/>
        </w:rPr>
        <w:footnoteRef/>
      </w:r>
      <w:r w:rsidRPr="000D3F79">
        <w:rPr>
          <w:lang w:val="en-US"/>
        </w:rPr>
        <w:t xml:space="preserve"> </w:t>
      </w:r>
      <w:r w:rsidRPr="00811D46">
        <w:rPr>
          <w:lang w:val="en-US"/>
        </w:rPr>
        <w:t xml:space="preserve">L. </w:t>
      </w:r>
      <w:proofErr w:type="spellStart"/>
      <w:r w:rsidRPr="00811D46">
        <w:rPr>
          <w:lang w:val="en-US"/>
        </w:rPr>
        <w:t>Peech</w:t>
      </w:r>
      <w:proofErr w:type="spellEnd"/>
      <w:r w:rsidRPr="00811D46">
        <w:rPr>
          <w:lang w:val="en-US"/>
        </w:rPr>
        <w:t xml:space="preserve"> et K. Lane </w:t>
      </w:r>
      <w:proofErr w:type="spellStart"/>
      <w:r w:rsidRPr="00811D46">
        <w:rPr>
          <w:lang w:val="en-US"/>
        </w:rPr>
        <w:t>Scheppele</w:t>
      </w:r>
      <w:proofErr w:type="spellEnd"/>
      <w:r w:rsidRPr="00811D46">
        <w:rPr>
          <w:lang w:val="en-US"/>
        </w:rPr>
        <w:t>, « Illiberalism Within : Ru</w:t>
      </w:r>
      <w:r>
        <w:rPr>
          <w:lang w:val="en-US"/>
        </w:rPr>
        <w:t>le of Law backsliding in the EU</w:t>
      </w:r>
      <w:r w:rsidR="000153C5" w:rsidRPr="000153C5">
        <w:rPr>
          <w:lang w:val="en-US"/>
        </w:rPr>
        <w:t> »</w:t>
      </w:r>
      <w:r>
        <w:rPr>
          <w:lang w:val="en-US"/>
        </w:rPr>
        <w:t xml:space="preserve">, </w:t>
      </w:r>
      <w:r w:rsidRPr="00811D46">
        <w:rPr>
          <w:i/>
          <w:iCs/>
          <w:lang w:val="en-US"/>
        </w:rPr>
        <w:t>Cambridge Yearbook of European Legal Studies</w:t>
      </w:r>
      <w:r>
        <w:rPr>
          <w:iCs/>
          <w:lang w:val="en-US"/>
        </w:rPr>
        <w:t xml:space="preserve">, 2017, n°19, </w:t>
      </w:r>
      <w:r w:rsidRPr="00811D46">
        <w:rPr>
          <w:lang w:val="en-US"/>
        </w:rPr>
        <w:t xml:space="preserve">p. </w:t>
      </w:r>
      <w:r>
        <w:rPr>
          <w:lang w:val="en-US"/>
        </w:rPr>
        <w:t xml:space="preserve">39 : </w:t>
      </w:r>
      <w:r w:rsidRPr="00811D46">
        <w:rPr>
          <w:lang w:val="en-US"/>
        </w:rPr>
        <w:t>« Considering that mutual trust is such a bedrock constitutional principle of the EU, however, a persistent and systemic threat to this presumption may well signal</w:t>
      </w:r>
      <w:r>
        <w:rPr>
          <w:lang w:val="en-US"/>
        </w:rPr>
        <w:t xml:space="preserve"> a danger for the Union as such</w:t>
      </w:r>
      <w:r w:rsidRPr="00811D46">
        <w:rPr>
          <w:lang w:val="en-US"/>
        </w:rPr>
        <w:t> »</w:t>
      </w:r>
      <w:r>
        <w:rPr>
          <w:lang w:val="en-US"/>
        </w:rPr>
        <w:t>.</w:t>
      </w:r>
    </w:p>
  </w:footnote>
  <w:footnote w:id="106">
    <w:p w14:paraId="06DE5396" w14:textId="1E6059AB" w:rsidR="008932FA" w:rsidRPr="00664F0E" w:rsidRDefault="008932FA" w:rsidP="00634778">
      <w:pPr>
        <w:pStyle w:val="Notedebasdepage"/>
        <w:spacing w:after="0"/>
      </w:pPr>
      <w:r>
        <w:rPr>
          <w:rStyle w:val="Appelnotedebasdep"/>
        </w:rPr>
        <w:footnoteRef/>
      </w:r>
      <w:r>
        <w:t xml:space="preserve"> </w:t>
      </w:r>
      <w:r w:rsidRPr="00664F0E">
        <w:t>L</w:t>
      </w:r>
      <w:r>
        <w:t>’</w:t>
      </w:r>
      <w:r w:rsidRPr="00664F0E">
        <w:t>incitation</w:t>
      </w:r>
      <w:r>
        <w:t xml:space="preserve"> à l’action</w:t>
      </w:r>
      <w:r w:rsidRPr="00664F0E">
        <w:t xml:space="preserve"> législative est parfois </w:t>
      </w:r>
      <w:r>
        <w:t>également</w:t>
      </w:r>
      <w:r w:rsidRPr="00664F0E">
        <w:t xml:space="preserve"> </w:t>
      </w:r>
      <w:r>
        <w:t xml:space="preserve">d’origine jurisprudentielle : </w:t>
      </w:r>
      <w:r w:rsidRPr="00664F0E">
        <w:t xml:space="preserve">voir en ce sens, R. </w:t>
      </w:r>
      <w:proofErr w:type="spellStart"/>
      <w:r w:rsidRPr="00664F0E">
        <w:t>Tinière</w:t>
      </w:r>
      <w:proofErr w:type="spellEnd"/>
      <w:r w:rsidRPr="00664F0E">
        <w:t xml:space="preserve">, </w:t>
      </w:r>
      <w:r w:rsidRPr="00664F0E">
        <w:rPr>
          <w:i/>
        </w:rPr>
        <w:t xml:space="preserve">op. </w:t>
      </w:r>
      <w:proofErr w:type="gramStart"/>
      <w:r w:rsidRPr="00664F0E">
        <w:rPr>
          <w:i/>
        </w:rPr>
        <w:t>cit</w:t>
      </w:r>
      <w:proofErr w:type="gramEnd"/>
      <w:r w:rsidRPr="00664F0E">
        <w:t>., p. 83</w:t>
      </w:r>
      <w:r>
        <w:t>.</w:t>
      </w:r>
    </w:p>
  </w:footnote>
  <w:footnote w:id="107">
    <w:p w14:paraId="2A6CD40F" w14:textId="0849E613" w:rsidR="008932FA" w:rsidRDefault="008932FA" w:rsidP="00634778">
      <w:pPr>
        <w:pStyle w:val="Notedebasdepage"/>
        <w:spacing w:after="0"/>
      </w:pPr>
      <w:r>
        <w:rPr>
          <w:rStyle w:val="Appelnotedebasdep"/>
        </w:rPr>
        <w:footnoteRef/>
      </w:r>
      <w:r>
        <w:t xml:space="preserve"> De même, selon </w:t>
      </w:r>
      <w:r w:rsidRPr="00357419">
        <w:t>l</w:t>
      </w:r>
      <w:r>
        <w:t>’</w:t>
      </w:r>
      <w:r w:rsidRPr="00357419">
        <w:t>article 81 TFUE, la coopération judiciaire en matière civile « peut inclure l</w:t>
      </w:r>
      <w:r>
        <w:t>’</w:t>
      </w:r>
      <w:r w:rsidRPr="00357419">
        <w:t>adoption de mesures de rapprochement des dispositions législatives et règlementaires des Etats membre ».</w:t>
      </w:r>
    </w:p>
  </w:footnote>
  <w:footnote w:id="108">
    <w:p w14:paraId="63BDC5DA" w14:textId="7AE1255C" w:rsidR="008932FA" w:rsidRDefault="008932FA" w:rsidP="00634778">
      <w:pPr>
        <w:pStyle w:val="Notedebasdepage"/>
        <w:spacing w:after="0"/>
      </w:pPr>
      <w:r>
        <w:rPr>
          <w:rStyle w:val="Appelnotedebasdep"/>
        </w:rPr>
        <w:footnoteRef/>
      </w:r>
      <w:r>
        <w:t xml:space="preserve"> Exception faite de la d</w:t>
      </w:r>
      <w:r w:rsidRPr="00E40243">
        <w:t>écision-cadre 2009/299/JAI du</w:t>
      </w:r>
      <w:r w:rsidR="000153C5">
        <w:t xml:space="preserve"> Conseil du 26 février 2009, relative aux</w:t>
      </w:r>
      <w:r w:rsidRPr="00E40243">
        <w:t xml:space="preserve"> droits procéduraux des personnes et favorisant l</w:t>
      </w:r>
      <w:r>
        <w:t>’</w:t>
      </w:r>
      <w:r w:rsidRPr="00E40243">
        <w:t>application du principe de reconnaissance mutuelle aux décisions rendues en l</w:t>
      </w:r>
      <w:r>
        <w:t>’</w:t>
      </w:r>
      <w:r w:rsidRPr="00E40243">
        <w:t>absence de la personne concernée lors du procès</w:t>
      </w:r>
      <w:r>
        <w:t>.</w:t>
      </w:r>
    </w:p>
  </w:footnote>
  <w:footnote w:id="109">
    <w:p w14:paraId="025C38BB" w14:textId="1ACD10E8" w:rsidR="008932FA" w:rsidRDefault="008932FA" w:rsidP="00634778">
      <w:pPr>
        <w:pStyle w:val="Notedebasdepage"/>
        <w:spacing w:after="0"/>
      </w:pPr>
      <w:r>
        <w:rPr>
          <w:rStyle w:val="Appelnotedebasdep"/>
        </w:rPr>
        <w:footnoteRef/>
      </w:r>
      <w:r>
        <w:t xml:space="preserve"> JOUE C 295/1 du 4 décembre 2009.</w:t>
      </w:r>
    </w:p>
  </w:footnote>
  <w:footnote w:id="110">
    <w:p w14:paraId="26F90D11" w14:textId="4755D71B" w:rsidR="008932FA" w:rsidRDefault="008932FA" w:rsidP="00634778">
      <w:pPr>
        <w:pStyle w:val="Notedebasdepage"/>
        <w:spacing w:after="0"/>
      </w:pPr>
      <w:r>
        <w:rPr>
          <w:rStyle w:val="Appelnotedebasdep"/>
        </w:rPr>
        <w:footnoteRef/>
      </w:r>
      <w:r>
        <w:t xml:space="preserve"> </w:t>
      </w:r>
      <w:r w:rsidR="008E60FA" w:rsidRPr="008E60FA">
        <w:t>L’essence de cette démarche du législateur est ainsi explicitée dans le</w:t>
      </w:r>
      <w:r w:rsidR="008E60FA">
        <w:t xml:space="preserve"> </w:t>
      </w:r>
      <w:r w:rsidR="008E60FA" w:rsidRPr="008E60FA">
        <w:t>considérant</w:t>
      </w:r>
      <w:r w:rsidR="008E60FA">
        <w:t xml:space="preserve"> 4</w:t>
      </w:r>
      <w:r w:rsidR="008E60FA" w:rsidRPr="008E60FA">
        <w:t xml:space="preserve"> de la directive</w:t>
      </w:r>
      <w:r w:rsidR="008E60FA">
        <w:t xml:space="preserve"> </w:t>
      </w:r>
      <w:r w:rsidR="008E60FA">
        <w:t>2010/64, du 20 octobre 2010</w:t>
      </w:r>
      <w:r w:rsidR="008E60FA" w:rsidRPr="008E60FA">
        <w:t xml:space="preserve"> relative au droit à l’interprétation et à la traduction dans</w:t>
      </w:r>
      <w:r w:rsidR="008E60FA">
        <w:t xml:space="preserve"> le cadre des procédures pénales </w:t>
      </w:r>
      <w:r>
        <w:t xml:space="preserve">: </w:t>
      </w:r>
      <w:r w:rsidRPr="006874C0">
        <w:t>« La reconnaissance mutuelle des décisions pénales ne peut être efficace que dans un climat de confiance, au sein duquel non seulement les autorités judiciaires, mais aussi tous les acteurs de la procédure pénale, considèrent les décisions des autorités judiciaires des autres États membres comme équivalentes aux leurs, ce qui implique une confiance mutuelle en ce qui concerne non seulement le caractère approprié des règles des autres États membres, mais aussi l</w:t>
      </w:r>
      <w:r>
        <w:t>’</w:t>
      </w:r>
      <w:r w:rsidRPr="006874C0">
        <w:t>application correcte de ces règles »</w:t>
      </w:r>
      <w:r>
        <w:t>. Les mêmes motifs sont repris en substance par les considérants de la directive 2012/13 sur le droit à l’information, ainsi que par ceux de la directive 2013/48 relative au droit d’accès à un avocat.</w:t>
      </w:r>
    </w:p>
  </w:footnote>
  <w:footnote w:id="111">
    <w:p w14:paraId="3B770252" w14:textId="02F08EB5" w:rsidR="008932FA" w:rsidRPr="00067F83" w:rsidRDefault="008932FA" w:rsidP="00634778">
      <w:pPr>
        <w:pStyle w:val="Notedebasdepage"/>
        <w:spacing w:after="0"/>
      </w:pPr>
      <w:r>
        <w:rPr>
          <w:rStyle w:val="Appelnotedebasdep"/>
        </w:rPr>
        <w:footnoteRef/>
      </w:r>
      <w:r>
        <w:t xml:space="preserve"> H. </w:t>
      </w:r>
      <w:proofErr w:type="spellStart"/>
      <w:r>
        <w:t>Labayle</w:t>
      </w:r>
      <w:proofErr w:type="spellEnd"/>
      <w:r>
        <w:t xml:space="preserve">, « Article 42-1 », </w:t>
      </w:r>
      <w:r>
        <w:rPr>
          <w:i/>
        </w:rPr>
        <w:t xml:space="preserve">op. </w:t>
      </w:r>
      <w:proofErr w:type="gramStart"/>
      <w:r>
        <w:rPr>
          <w:i/>
        </w:rPr>
        <w:t>cit</w:t>
      </w:r>
      <w:proofErr w:type="gramEnd"/>
      <w:r>
        <w:rPr>
          <w:i/>
        </w:rPr>
        <w:t>.</w:t>
      </w:r>
      <w:r>
        <w:t>, p. 554-555.</w:t>
      </w:r>
    </w:p>
  </w:footnote>
  <w:footnote w:id="112">
    <w:p w14:paraId="6659A572" w14:textId="38986BCF" w:rsidR="008932FA" w:rsidRPr="00E56D92" w:rsidRDefault="008932FA" w:rsidP="00634778">
      <w:pPr>
        <w:pStyle w:val="Notedebasdepage"/>
        <w:spacing w:after="0"/>
      </w:pPr>
      <w:r>
        <w:rPr>
          <w:rStyle w:val="Appelnotedebasdep"/>
        </w:rPr>
        <w:footnoteRef/>
      </w:r>
      <w:r>
        <w:t xml:space="preserve"> </w:t>
      </w:r>
      <w:r w:rsidRPr="00E56D92">
        <w:t xml:space="preserve">CJUE, 10 août 017, </w:t>
      </w:r>
      <w:proofErr w:type="spellStart"/>
      <w:r w:rsidRPr="00E56D92">
        <w:rPr>
          <w:i/>
        </w:rPr>
        <w:t>Tupokas</w:t>
      </w:r>
      <w:proofErr w:type="spellEnd"/>
      <w:r w:rsidRPr="00E56D92">
        <w:t>, Aff. C-270/17 PPU</w:t>
      </w:r>
      <w:r w:rsidR="000153C5">
        <w:t xml:space="preserve"> ; </w:t>
      </w:r>
      <w:r w:rsidRPr="00E56D92">
        <w:t xml:space="preserve">CJUE, 10 août 2017, </w:t>
      </w:r>
      <w:proofErr w:type="spellStart"/>
      <w:r w:rsidRPr="00E56D92">
        <w:rPr>
          <w:i/>
        </w:rPr>
        <w:t>Zdiziaszek</w:t>
      </w:r>
      <w:proofErr w:type="spellEnd"/>
      <w:r w:rsidRPr="00E56D92">
        <w:t>, Aff. C-271/17 PPU</w:t>
      </w:r>
      <w:r>
        <w:t xml:space="preserve"> ; et voir déjà dans le même sens, CJUE, 24 mai 2016, </w:t>
      </w:r>
      <w:r>
        <w:rPr>
          <w:i/>
        </w:rPr>
        <w:t xml:space="preserve">Pawel </w:t>
      </w:r>
      <w:proofErr w:type="spellStart"/>
      <w:r>
        <w:rPr>
          <w:i/>
        </w:rPr>
        <w:t>Dworzecki</w:t>
      </w:r>
      <w:proofErr w:type="spellEnd"/>
      <w:r>
        <w:t>, Aff. C-108/16.</w:t>
      </w:r>
    </w:p>
  </w:footnote>
  <w:footnote w:id="113">
    <w:p w14:paraId="182CFA08" w14:textId="3A094A9C" w:rsidR="008932FA" w:rsidRPr="00D23895" w:rsidRDefault="008932FA" w:rsidP="00634778">
      <w:pPr>
        <w:pStyle w:val="Notedebasdepage"/>
        <w:spacing w:after="0"/>
      </w:pPr>
      <w:r>
        <w:rPr>
          <w:rStyle w:val="Appelnotedebasdep"/>
        </w:rPr>
        <w:footnoteRef/>
      </w:r>
      <w:r>
        <w:t xml:space="preserve"> </w:t>
      </w:r>
      <w:r w:rsidRPr="0097120F">
        <w:rPr>
          <w:spacing w:val="-2"/>
        </w:rPr>
        <w:t>F. Gazin, « Motif facultatif de non-exécution d</w:t>
      </w:r>
      <w:r>
        <w:rPr>
          <w:spacing w:val="-2"/>
        </w:rPr>
        <w:t>’</w:t>
      </w:r>
      <w:r w:rsidRPr="0097120F">
        <w:rPr>
          <w:spacing w:val="-2"/>
        </w:rPr>
        <w:t>un mandat d</w:t>
      </w:r>
      <w:r>
        <w:rPr>
          <w:spacing w:val="-2"/>
        </w:rPr>
        <w:t>’</w:t>
      </w:r>
      <w:r w:rsidRPr="0097120F">
        <w:rPr>
          <w:spacing w:val="-2"/>
        </w:rPr>
        <w:t xml:space="preserve">arrêt européen », </w:t>
      </w:r>
      <w:r w:rsidRPr="0097120F">
        <w:rPr>
          <w:i/>
          <w:spacing w:val="-2"/>
        </w:rPr>
        <w:t>Europe</w:t>
      </w:r>
      <w:r w:rsidRPr="0097120F">
        <w:rPr>
          <w:spacing w:val="-2"/>
        </w:rPr>
        <w:t xml:space="preserve">, 2017, n°10, </w:t>
      </w:r>
      <w:proofErr w:type="spellStart"/>
      <w:r w:rsidRPr="0097120F">
        <w:rPr>
          <w:spacing w:val="-2"/>
        </w:rPr>
        <w:t>comm</w:t>
      </w:r>
      <w:proofErr w:type="spellEnd"/>
      <w:r w:rsidRPr="0097120F">
        <w:rPr>
          <w:spacing w:val="-2"/>
        </w:rPr>
        <w:t>. 356.</w:t>
      </w:r>
    </w:p>
  </w:footnote>
  <w:footnote w:id="114">
    <w:p w14:paraId="667134E3" w14:textId="70225390" w:rsidR="008932FA" w:rsidRPr="001A00E8" w:rsidRDefault="008932FA" w:rsidP="00634778">
      <w:pPr>
        <w:pStyle w:val="Notedebasdepage"/>
        <w:spacing w:after="0"/>
      </w:pPr>
      <w:r>
        <w:rPr>
          <w:rStyle w:val="Appelnotedebasdep"/>
        </w:rPr>
        <w:footnoteRef/>
      </w:r>
      <w:r>
        <w:t xml:space="preserve"> V. </w:t>
      </w:r>
      <w:proofErr w:type="spellStart"/>
      <w:r>
        <w:t>Mitsiligas</w:t>
      </w:r>
      <w:proofErr w:type="spellEnd"/>
      <w:r>
        <w:t xml:space="preserve">, </w:t>
      </w:r>
      <w:r w:rsidRPr="007D346F">
        <w:rPr>
          <w:i/>
        </w:rPr>
        <w:t>op.</w:t>
      </w:r>
      <w:r>
        <w:rPr>
          <w:i/>
        </w:rPr>
        <w:t xml:space="preserve"> </w:t>
      </w:r>
      <w:proofErr w:type="gramStart"/>
      <w:r>
        <w:rPr>
          <w:i/>
        </w:rPr>
        <w:t>cit</w:t>
      </w:r>
      <w:proofErr w:type="gramEnd"/>
      <w:r>
        <w:rPr>
          <w:i/>
        </w:rPr>
        <w:t>.</w:t>
      </w:r>
      <w:r>
        <w:t>, p. 352 et s.</w:t>
      </w:r>
    </w:p>
  </w:footnote>
  <w:footnote w:id="115">
    <w:p w14:paraId="2006C8D3" w14:textId="076BDF19" w:rsidR="008932FA" w:rsidRPr="005733C9" w:rsidRDefault="008932FA" w:rsidP="00634778">
      <w:pPr>
        <w:pStyle w:val="Notedebasdepage"/>
        <w:spacing w:after="0"/>
      </w:pPr>
      <w:r>
        <w:rPr>
          <w:rStyle w:val="Appelnotedebasdep"/>
        </w:rPr>
        <w:footnoteRef/>
      </w:r>
      <w:r>
        <w:t xml:space="preserve"> Arrêt </w:t>
      </w:r>
      <w:r>
        <w:rPr>
          <w:i/>
        </w:rPr>
        <w:t xml:space="preserve">Aguirre </w:t>
      </w:r>
      <w:proofErr w:type="spellStart"/>
      <w:r>
        <w:rPr>
          <w:i/>
        </w:rPr>
        <w:t>Zarraga</w:t>
      </w:r>
      <w:proofErr w:type="spellEnd"/>
      <w:r>
        <w:rPr>
          <w:i/>
        </w:rPr>
        <w:t xml:space="preserve"> </w:t>
      </w:r>
      <w:proofErr w:type="spellStart"/>
      <w:r>
        <w:t>préc</w:t>
      </w:r>
      <w:proofErr w:type="spellEnd"/>
      <w:r>
        <w:t>., pt. 59-60 : le système de répartition des compétences instauré par le règlement Bruxelles II bis repose en effet «</w:t>
      </w:r>
      <w:r w:rsidRPr="0097120F">
        <w:t> sur la prémisse que lesdites juridictions respectent, dans leur</w:t>
      </w:r>
      <w:r>
        <w:t>s</w:t>
      </w:r>
      <w:r w:rsidRPr="0097120F">
        <w:t xml:space="preserve"> sphères de compétences respectives, les obligations que ce règlement leur impose, en conformité avec la Charte des droits fondamentaux ».</w:t>
      </w:r>
    </w:p>
  </w:footnote>
  <w:footnote w:id="116">
    <w:p w14:paraId="3F5310C2" w14:textId="3B781403" w:rsidR="008932FA" w:rsidRPr="00F23EB1" w:rsidRDefault="008932FA" w:rsidP="00634778">
      <w:pPr>
        <w:pStyle w:val="Notedebasdepage"/>
        <w:spacing w:after="0"/>
      </w:pPr>
      <w:r>
        <w:rPr>
          <w:rStyle w:val="Appelnotedebasdep"/>
        </w:rPr>
        <w:footnoteRef/>
      </w:r>
      <w:r>
        <w:t xml:space="preserve"> </w:t>
      </w:r>
      <w:r w:rsidR="00F23EB1">
        <w:t>CEDH</w:t>
      </w:r>
      <w:r>
        <w:t xml:space="preserve">, 12 décembre 2011, </w:t>
      </w:r>
      <w:proofErr w:type="spellStart"/>
      <w:r>
        <w:rPr>
          <w:i/>
        </w:rPr>
        <w:t>Sneersone</w:t>
      </w:r>
      <w:proofErr w:type="spellEnd"/>
      <w:r>
        <w:rPr>
          <w:i/>
        </w:rPr>
        <w:t xml:space="preserve"> et </w:t>
      </w:r>
      <w:proofErr w:type="spellStart"/>
      <w:r>
        <w:rPr>
          <w:i/>
        </w:rPr>
        <w:t>kampanella</w:t>
      </w:r>
      <w:proofErr w:type="spellEnd"/>
      <w:r>
        <w:rPr>
          <w:i/>
        </w:rPr>
        <w:t xml:space="preserve"> c. </w:t>
      </w:r>
      <w:proofErr w:type="spellStart"/>
      <w:r>
        <w:rPr>
          <w:i/>
        </w:rPr>
        <w:t>Italy</w:t>
      </w:r>
      <w:proofErr w:type="spellEnd"/>
      <w:r>
        <w:t xml:space="preserve">, </w:t>
      </w:r>
      <w:proofErr w:type="spellStart"/>
      <w:r>
        <w:t>req</w:t>
      </w:r>
      <w:proofErr w:type="spellEnd"/>
      <w:r>
        <w:t xml:space="preserve">. </w:t>
      </w:r>
      <w:proofErr w:type="gramStart"/>
      <w:r>
        <w:t>n</w:t>
      </w:r>
      <w:proofErr w:type="gramEnd"/>
      <w:r>
        <w:t xml:space="preserve">° 14737/09. Le constat est d’autant plus problématique qu’à l’inverse la Commission, dans le cadre d’une procédure </w:t>
      </w:r>
      <w:proofErr w:type="spellStart"/>
      <w:r>
        <w:t>inter-étatique</w:t>
      </w:r>
      <w:proofErr w:type="spellEnd"/>
      <w:r>
        <w:t xml:space="preserve"> de manquement initiée par la Lettonie, a conclu à l’absence de méconnaissance de l’intérêt supérieur de l’enfant.</w:t>
      </w:r>
      <w:r w:rsidR="00F23EB1">
        <w:t xml:space="preserve"> Voir également, à propos des problèmes de compatibilité entre le règlement 2201/2003 et la CEDH, l’arrêt </w:t>
      </w:r>
      <w:r w:rsidR="00F23EB1">
        <w:rPr>
          <w:i/>
        </w:rPr>
        <w:t xml:space="preserve">M.K. </w:t>
      </w:r>
      <w:proofErr w:type="spellStart"/>
      <w:r w:rsidR="00F23EB1">
        <w:t>préc</w:t>
      </w:r>
      <w:proofErr w:type="spellEnd"/>
      <w:r w:rsidR="00F23EB1">
        <w:t xml:space="preserve">. </w:t>
      </w:r>
      <w:proofErr w:type="gramStart"/>
      <w:r w:rsidR="00F23EB1">
        <w:t>note</w:t>
      </w:r>
      <w:proofErr w:type="gramEnd"/>
      <w:r w:rsidR="00F23EB1">
        <w:t xml:space="preserve"> 99.</w:t>
      </w:r>
    </w:p>
  </w:footnote>
  <w:footnote w:id="117">
    <w:p w14:paraId="70B6AE9A" w14:textId="13AA40A1" w:rsidR="008932FA" w:rsidRPr="002C475C" w:rsidRDefault="008932FA" w:rsidP="00634778">
      <w:pPr>
        <w:pStyle w:val="Notedebasdepage"/>
        <w:spacing w:after="0"/>
        <w:rPr>
          <w:lang w:val="en-US"/>
        </w:rPr>
      </w:pPr>
      <w:r>
        <w:rPr>
          <w:rStyle w:val="Appelnotedebasdep"/>
        </w:rPr>
        <w:footnoteRef/>
      </w:r>
      <w:r w:rsidRPr="002C475C">
        <w:rPr>
          <w:lang w:val="en-US"/>
        </w:rPr>
        <w:t xml:space="preserve"> V. </w:t>
      </w:r>
      <w:proofErr w:type="spellStart"/>
      <w:r w:rsidRPr="002C475C">
        <w:rPr>
          <w:lang w:val="en-US"/>
        </w:rPr>
        <w:t>Mitsilegas</w:t>
      </w:r>
      <w:proofErr w:type="spellEnd"/>
      <w:r w:rsidRPr="002C475C">
        <w:rPr>
          <w:lang w:val="en-US"/>
        </w:rPr>
        <w:t xml:space="preserve">, </w:t>
      </w:r>
      <w:r w:rsidRPr="002C475C">
        <w:rPr>
          <w:i/>
          <w:lang w:val="en-US"/>
        </w:rPr>
        <w:t xml:space="preserve">op. </w:t>
      </w:r>
      <w:proofErr w:type="spellStart"/>
      <w:r w:rsidRPr="002C475C">
        <w:rPr>
          <w:i/>
          <w:lang w:val="en-US"/>
        </w:rPr>
        <w:t>cit.</w:t>
      </w:r>
      <w:r w:rsidRPr="002C475C">
        <w:rPr>
          <w:lang w:val="en-US"/>
        </w:rPr>
        <w:t>,p</w:t>
      </w:r>
      <w:proofErr w:type="spellEnd"/>
      <w:r w:rsidRPr="002C475C">
        <w:rPr>
          <w:lang w:val="en-US"/>
        </w:rPr>
        <w:t>. 355</w:t>
      </w:r>
    </w:p>
  </w:footnote>
  <w:footnote w:id="118">
    <w:p w14:paraId="6F9D126B" w14:textId="4AC20270" w:rsidR="008932FA" w:rsidRPr="0036762C" w:rsidRDefault="008932FA" w:rsidP="00634778">
      <w:pPr>
        <w:pStyle w:val="Notedebasdepage"/>
        <w:spacing w:after="0"/>
        <w:rPr>
          <w:rStyle w:val="NotedebasdepageCar"/>
        </w:rPr>
      </w:pPr>
      <w:r>
        <w:rPr>
          <w:rStyle w:val="Appelnotedebasdep"/>
        </w:rPr>
        <w:footnoteRef/>
      </w:r>
      <w:r>
        <w:t xml:space="preserve"> Ce qui serait conforme à la logique de l’article 70 TFUE. </w:t>
      </w:r>
      <w:r w:rsidR="00F23EB1">
        <w:t>I</w:t>
      </w:r>
      <w:r>
        <w:t>ntroduite par le Traité de Lisbonne et reprenant une pratique d’</w:t>
      </w:r>
      <w:r>
        <w:rPr>
          <w:rStyle w:val="NotedebasdepageCar"/>
        </w:rPr>
        <w:t xml:space="preserve">évaluation « par les pairs » </w:t>
      </w:r>
      <w:r>
        <w:t xml:space="preserve">développée sous l’accord Schengen, </w:t>
      </w:r>
      <w:r w:rsidR="00F23EB1">
        <w:t xml:space="preserve">cette disposition prévoit que </w:t>
      </w:r>
      <w:r w:rsidRPr="008D5569">
        <w:rPr>
          <w:rStyle w:val="NotedebasdepageCar"/>
        </w:rPr>
        <w:t>« </w:t>
      </w:r>
      <w:r>
        <w:rPr>
          <w:rStyle w:val="NotedebasdepageCar"/>
        </w:rPr>
        <w:t>le </w:t>
      </w:r>
      <w:r w:rsidRPr="006D5144">
        <w:rPr>
          <w:rStyle w:val="NotedebasdepageCar"/>
        </w:rPr>
        <w:t>Conseil, sur proposition de la Commission, peut adopter des mesures établissant des modalités par lesquelles les États membres, en collaboration avec la Commission, procèdent à une évaluation objective et impartiale de la mise en œuvre, par les autorités des États membres, des politiques de l</w:t>
      </w:r>
      <w:r>
        <w:rPr>
          <w:rStyle w:val="NotedebasdepageCar"/>
        </w:rPr>
        <w:t>’</w:t>
      </w:r>
      <w:r w:rsidRPr="006D5144">
        <w:rPr>
          <w:rStyle w:val="NotedebasdepageCar"/>
        </w:rPr>
        <w:t>Union visées au présent titre, en particulier afin de favoriser la pleine application du principe de reconnaissance mutuelle ».</w:t>
      </w:r>
      <w:r>
        <w:rPr>
          <w:rStyle w:val="NotedebasdepageCar"/>
        </w:rPr>
        <w:t xml:space="preserve"> Si le dispositif reste marqué par l’origine intergouvernementale de l’espace sans frontière intérieure (voir en ce sens : H. </w:t>
      </w:r>
      <w:proofErr w:type="spellStart"/>
      <w:r>
        <w:rPr>
          <w:rStyle w:val="NotedebasdepageCar"/>
        </w:rPr>
        <w:t>Labayle</w:t>
      </w:r>
      <w:proofErr w:type="spellEnd"/>
      <w:r>
        <w:rPr>
          <w:rStyle w:val="NotedebasdepageCar"/>
        </w:rPr>
        <w:t>, « </w:t>
      </w:r>
      <w:r w:rsidRPr="00814463">
        <w:rPr>
          <w:rStyle w:val="NotedebasdepageCar"/>
        </w:rPr>
        <w:t>La suppressio</w:t>
      </w:r>
      <w:r>
        <w:rPr>
          <w:rStyle w:val="NotedebasdepageCar"/>
        </w:rPr>
        <w:t xml:space="preserve">n des contrôles aux frontières </w:t>
      </w:r>
      <w:r w:rsidRPr="00814463">
        <w:rPr>
          <w:rStyle w:val="NotedebasdepageCar"/>
        </w:rPr>
        <w:t>intérieures de l</w:t>
      </w:r>
      <w:r>
        <w:rPr>
          <w:rStyle w:val="NotedebasdepageCar"/>
        </w:rPr>
        <w:t>’</w:t>
      </w:r>
      <w:r w:rsidRPr="00814463">
        <w:rPr>
          <w:rStyle w:val="NotedebasdepageCar"/>
        </w:rPr>
        <w:t>Union</w:t>
      </w:r>
      <w:r>
        <w:rPr>
          <w:rStyle w:val="NotedebasdepageCar"/>
        </w:rPr>
        <w:t xml:space="preserve"> », in C. </w:t>
      </w:r>
      <w:proofErr w:type="spellStart"/>
      <w:r>
        <w:rPr>
          <w:rStyle w:val="NotedebasdepageCar"/>
        </w:rPr>
        <w:t>Blumann</w:t>
      </w:r>
      <w:proofErr w:type="spellEnd"/>
      <w:r>
        <w:rPr>
          <w:rStyle w:val="NotedebasdepageCar"/>
        </w:rPr>
        <w:t xml:space="preserve">, </w:t>
      </w:r>
      <w:r>
        <w:rPr>
          <w:rStyle w:val="NotedebasdepageCar"/>
          <w:i/>
        </w:rPr>
        <w:t>Les frontières de l’Union européenne</w:t>
      </w:r>
      <w:r>
        <w:rPr>
          <w:rStyle w:val="NotedebasdepageCar"/>
        </w:rPr>
        <w:t>, Bruxelles, Bruylant, 2013, p. 48), comme en témoigne l’éviction du Parlement, l’instrument adopté pour sa mise en œuvre traduit un renforcement du rôle de la Commission (voir le r</w:t>
      </w:r>
      <w:r w:rsidR="00BF33B3">
        <w:rPr>
          <w:rStyle w:val="NotedebasdepageCar"/>
        </w:rPr>
        <w:t>èglement (UE) n°</w:t>
      </w:r>
      <w:r w:rsidRPr="00057BD6">
        <w:rPr>
          <w:rStyle w:val="NotedebasdepageCar"/>
        </w:rPr>
        <w:t>1053/2013 du Conseil du 7 octobre 2013 portant création d</w:t>
      </w:r>
      <w:r>
        <w:rPr>
          <w:rStyle w:val="NotedebasdepageCar"/>
        </w:rPr>
        <w:t>’</w:t>
      </w:r>
      <w:r w:rsidRPr="00057BD6">
        <w:rPr>
          <w:rStyle w:val="NotedebasdepageCar"/>
        </w:rPr>
        <w:t>un mécanisme d</w:t>
      </w:r>
      <w:r>
        <w:rPr>
          <w:rStyle w:val="NotedebasdepageCar"/>
        </w:rPr>
        <w:t>’</w:t>
      </w:r>
      <w:r w:rsidRPr="00057BD6">
        <w:rPr>
          <w:rStyle w:val="NotedebasdepageCar"/>
        </w:rPr>
        <w:t>évaluation et de contrôle destiné à vérifier l</w:t>
      </w:r>
      <w:r>
        <w:rPr>
          <w:rStyle w:val="NotedebasdepageCar"/>
        </w:rPr>
        <w:t>’</w:t>
      </w:r>
      <w:r w:rsidRPr="00057BD6">
        <w:rPr>
          <w:rStyle w:val="NotedebasdepageCar"/>
        </w:rPr>
        <w:t>application de l</w:t>
      </w:r>
      <w:r>
        <w:rPr>
          <w:rStyle w:val="NotedebasdepageCar"/>
        </w:rPr>
        <w:t>’</w:t>
      </w:r>
      <w:r w:rsidRPr="00057BD6">
        <w:rPr>
          <w:rStyle w:val="NotedebasdepageCar"/>
        </w:rPr>
        <w:t>acquis de Schengen</w:t>
      </w:r>
      <w:r w:rsidR="00BF33B3">
        <w:rPr>
          <w:rStyle w:val="NotedebasdepageCar"/>
        </w:rPr>
        <w:t>) et révèle c</w:t>
      </w:r>
      <w:r>
        <w:rPr>
          <w:rStyle w:val="NotedebasdepageCar"/>
        </w:rPr>
        <w:t>e faisant les potentialités intégratives de ce mécanisme de contrôle mutuel.</w:t>
      </w:r>
    </w:p>
  </w:footnote>
  <w:footnote w:id="119">
    <w:p w14:paraId="3F67C169" w14:textId="0C11D931" w:rsidR="008932FA" w:rsidRDefault="008932FA" w:rsidP="00F765CD">
      <w:pPr>
        <w:pStyle w:val="Notedebasdepage"/>
        <w:spacing w:after="0"/>
      </w:pPr>
      <w:r>
        <w:rPr>
          <w:rStyle w:val="Appelnotedebasdep"/>
        </w:rPr>
        <w:footnoteRef/>
      </w:r>
      <w:r w:rsidR="00BF33B3">
        <w:t xml:space="preserve"> </w:t>
      </w:r>
      <w:proofErr w:type="spellStart"/>
      <w:r w:rsidR="00BF33B3">
        <w:t>Su</w:t>
      </w:r>
      <w:r>
        <w:t>p</w:t>
      </w:r>
      <w:r w:rsidR="00BF33B3">
        <w:t>r</w:t>
      </w:r>
      <w:r>
        <w:t>em</w:t>
      </w:r>
      <w:proofErr w:type="spellEnd"/>
      <w:r>
        <w:t xml:space="preserve"> Court, 19 février 2014, </w:t>
      </w:r>
      <w:r w:rsidRPr="002D76FA">
        <w:rPr>
          <w:i/>
        </w:rPr>
        <w:t xml:space="preserve">R. v. </w:t>
      </w:r>
      <w:proofErr w:type="spellStart"/>
      <w:r w:rsidRPr="002D76FA">
        <w:rPr>
          <w:i/>
        </w:rPr>
        <w:t>Secretary</w:t>
      </w:r>
      <w:proofErr w:type="spellEnd"/>
      <w:r w:rsidRPr="002D76FA">
        <w:rPr>
          <w:i/>
        </w:rPr>
        <w:t xml:space="preserve"> of State for the Home </w:t>
      </w:r>
      <w:proofErr w:type="spellStart"/>
      <w:r w:rsidRPr="002D76FA">
        <w:rPr>
          <w:i/>
        </w:rPr>
        <w:t>Department</w:t>
      </w:r>
      <w:proofErr w:type="spellEnd"/>
      <w:r>
        <w:rPr>
          <w:i/>
        </w:rPr>
        <w:t> </w:t>
      </w:r>
      <w:r>
        <w:t>: le juge britannique s’appuie pour justifier sa position sur la</w:t>
      </w:r>
      <w:r w:rsidRPr="002D76FA">
        <w:t xml:space="preserve"> jurisprudence </w:t>
      </w:r>
      <w:proofErr w:type="spellStart"/>
      <w:r w:rsidRPr="002D76FA">
        <w:rPr>
          <w:i/>
        </w:rPr>
        <w:t>Soering</w:t>
      </w:r>
      <w:proofErr w:type="spellEnd"/>
      <w:r w:rsidRPr="002D76FA">
        <w:t xml:space="preserve"> </w:t>
      </w:r>
      <w:r>
        <w:t>(</w:t>
      </w:r>
      <w:r w:rsidRPr="002D76FA">
        <w:t xml:space="preserve">CEDH, 7 juillet 1989, </w:t>
      </w:r>
      <w:proofErr w:type="spellStart"/>
      <w:r>
        <w:rPr>
          <w:i/>
        </w:rPr>
        <w:t>Soering</w:t>
      </w:r>
      <w:proofErr w:type="spellEnd"/>
      <w:r>
        <w:rPr>
          <w:i/>
        </w:rPr>
        <w:t xml:space="preserve"> c. Royaume-Uni</w:t>
      </w:r>
      <w:r>
        <w:t xml:space="preserve">, </w:t>
      </w:r>
      <w:proofErr w:type="spellStart"/>
      <w:r>
        <w:t>req</w:t>
      </w:r>
      <w:proofErr w:type="spellEnd"/>
      <w:r>
        <w:t xml:space="preserve">. </w:t>
      </w:r>
      <w:proofErr w:type="gramStart"/>
      <w:r>
        <w:t>n</w:t>
      </w:r>
      <w:proofErr w:type="gramEnd"/>
      <w:r>
        <w:t xml:space="preserve">°14038/88) à l’aune de laquelle il entend faire application des arrêts </w:t>
      </w:r>
      <w:r w:rsidRPr="00F765CD">
        <w:rPr>
          <w:i/>
        </w:rPr>
        <w:t>M</w:t>
      </w:r>
      <w:r>
        <w:rPr>
          <w:i/>
        </w:rPr>
        <w:t>.</w:t>
      </w:r>
      <w:r w:rsidRPr="00F765CD">
        <w:rPr>
          <w:i/>
        </w:rPr>
        <w:t>S</w:t>
      </w:r>
      <w:r>
        <w:rPr>
          <w:i/>
        </w:rPr>
        <w:t>.S.</w:t>
      </w:r>
      <w:r>
        <w:t>,</w:t>
      </w:r>
      <w:r w:rsidRPr="002D76FA">
        <w:t xml:space="preserve"> </w:t>
      </w:r>
      <w:proofErr w:type="spellStart"/>
      <w:r w:rsidRPr="00F765CD">
        <w:rPr>
          <w:i/>
        </w:rPr>
        <w:t>Tarakhel</w:t>
      </w:r>
      <w:proofErr w:type="spellEnd"/>
      <w:r>
        <w:t xml:space="preserve">, et </w:t>
      </w:r>
      <w:proofErr w:type="spellStart"/>
      <w:r w:rsidRPr="00F765CD">
        <w:rPr>
          <w:i/>
        </w:rPr>
        <w:t>Avotins</w:t>
      </w:r>
      <w:proofErr w:type="spellEnd"/>
      <w:r>
        <w:rPr>
          <w:i/>
        </w:rPr>
        <w:t xml:space="preserve"> </w:t>
      </w:r>
      <w:proofErr w:type="spellStart"/>
      <w:r>
        <w:t>préc</w:t>
      </w:r>
      <w:proofErr w:type="spellEnd"/>
      <w:r>
        <w:t>.</w:t>
      </w:r>
    </w:p>
  </w:footnote>
  <w:footnote w:id="120">
    <w:p w14:paraId="77D89518" w14:textId="3281D979" w:rsidR="008932FA" w:rsidRDefault="008932FA" w:rsidP="00634778">
      <w:pPr>
        <w:pStyle w:val="Notedebasdepage"/>
        <w:spacing w:after="0"/>
      </w:pPr>
      <w:r>
        <w:rPr>
          <w:rStyle w:val="Appelnotedebasdep"/>
        </w:rPr>
        <w:footnoteRef/>
      </w:r>
      <w:r>
        <w:t xml:space="preserve"> A. Gaillet, </w:t>
      </w:r>
      <w:r w:rsidRPr="00865F3E">
        <w:t>« Confiance</w:t>
      </w:r>
      <w:r>
        <w:t xml:space="preserve"> </w:t>
      </w:r>
      <w:r w:rsidRPr="00865F3E">
        <w:t>et méfiance autour du mandat d</w:t>
      </w:r>
      <w:r>
        <w:t>’</w:t>
      </w:r>
      <w:r w:rsidRPr="00865F3E">
        <w:t xml:space="preserve">arrêt européen », </w:t>
      </w:r>
      <w:r w:rsidRPr="00865F3E">
        <w:rPr>
          <w:i/>
          <w:iCs/>
        </w:rPr>
        <w:t>A</w:t>
      </w:r>
      <w:r>
        <w:rPr>
          <w:i/>
          <w:iCs/>
        </w:rPr>
        <w:t>JDA</w:t>
      </w:r>
      <w:r w:rsidRPr="00865F3E">
        <w:t>, 2016,</w:t>
      </w:r>
      <w:r>
        <w:t xml:space="preserve"> n° 20, p. 1115.</w:t>
      </w:r>
    </w:p>
  </w:footnote>
  <w:footnote w:id="121">
    <w:p w14:paraId="753E43B6" w14:textId="5F9D3077" w:rsidR="008932FA" w:rsidRDefault="008932FA" w:rsidP="008B06ED">
      <w:pPr>
        <w:pStyle w:val="Notedebasdepage"/>
        <w:spacing w:after="0"/>
      </w:pPr>
      <w:r>
        <w:rPr>
          <w:rStyle w:val="Appelnotedebasdep"/>
        </w:rPr>
        <w:footnoteRef/>
      </w:r>
      <w:r>
        <w:t xml:space="preserve"> Avis 2/13 </w:t>
      </w:r>
      <w:proofErr w:type="spellStart"/>
      <w:r>
        <w:t>préc</w:t>
      </w:r>
      <w:proofErr w:type="spellEnd"/>
      <w:r>
        <w:t>., pt. 192.</w:t>
      </w:r>
    </w:p>
  </w:footnote>
  <w:footnote w:id="122">
    <w:p w14:paraId="7AF28922" w14:textId="0150724E" w:rsidR="008932FA" w:rsidRPr="00DB2795" w:rsidRDefault="008932FA" w:rsidP="008B06ED">
      <w:pPr>
        <w:pStyle w:val="Notedebasdepage"/>
        <w:spacing w:after="0"/>
      </w:pPr>
      <w:r>
        <w:rPr>
          <w:rStyle w:val="Appelnotedebasdep"/>
        </w:rPr>
        <w:footnoteRef/>
      </w:r>
      <w:r>
        <w:t xml:space="preserve"> Dans l’arrêt </w:t>
      </w:r>
      <w:r>
        <w:rPr>
          <w:i/>
        </w:rPr>
        <w:t>C.K. c. Slovénie</w:t>
      </w:r>
      <w:r>
        <w:t xml:space="preserve"> </w:t>
      </w:r>
      <w:proofErr w:type="spellStart"/>
      <w:r>
        <w:t>préc</w:t>
      </w:r>
      <w:proofErr w:type="spellEnd"/>
      <w:r>
        <w:t xml:space="preserve">., la Cour insiste ainsi sur le fait que dans le précédent constitué par l’affaire </w:t>
      </w:r>
      <w:proofErr w:type="spellStart"/>
      <w:r>
        <w:rPr>
          <w:i/>
        </w:rPr>
        <w:t>Abdullahi</w:t>
      </w:r>
      <w:proofErr w:type="spellEnd"/>
      <w:r>
        <w:rPr>
          <w:i/>
        </w:rPr>
        <w:t xml:space="preserve"> </w:t>
      </w:r>
      <w:r w:rsidR="00F23EB1">
        <w:t>(</w:t>
      </w:r>
      <w:proofErr w:type="spellStart"/>
      <w:r>
        <w:t>préc</w:t>
      </w:r>
      <w:proofErr w:type="spellEnd"/>
      <w:r>
        <w:t>.</w:t>
      </w:r>
      <w:r w:rsidR="00F23EB1">
        <w:t>)</w:t>
      </w:r>
      <w:r>
        <w:t>, le requérant n’avait fait valoir aucune « circonstance particulière de nature à indiquer que son transfert serait, en soi, contraire à l’article 4 de la Charte ».</w:t>
      </w:r>
    </w:p>
  </w:footnote>
  <w:footnote w:id="123">
    <w:p w14:paraId="5FA9D306" w14:textId="26B4A3AC" w:rsidR="008932FA" w:rsidRDefault="008932FA" w:rsidP="001C3B87">
      <w:pPr>
        <w:pStyle w:val="Notedebasdepage"/>
        <w:spacing w:after="0"/>
      </w:pPr>
      <w:r>
        <w:rPr>
          <w:rStyle w:val="Appelnotedebasdep"/>
        </w:rPr>
        <w:footnoteRef/>
      </w:r>
      <w:r>
        <w:t xml:space="preserve"> Avis 2/13 </w:t>
      </w:r>
      <w:proofErr w:type="spellStart"/>
      <w:r>
        <w:t>préc</w:t>
      </w:r>
      <w:proofErr w:type="spellEnd"/>
      <w:r>
        <w:t>., pt. 194.</w:t>
      </w:r>
    </w:p>
  </w:footnote>
  <w:footnote w:id="124">
    <w:p w14:paraId="50E6FD5F" w14:textId="4433BDB7" w:rsidR="008932FA" w:rsidRDefault="008932FA" w:rsidP="00684827">
      <w:pPr>
        <w:pStyle w:val="Notedebasdepage"/>
        <w:spacing w:after="0"/>
      </w:pPr>
      <w:r>
        <w:rPr>
          <w:rStyle w:val="Appelnotedebasdep"/>
        </w:rPr>
        <w:footnoteRef/>
      </w:r>
      <w:r>
        <w:t xml:space="preserve"> M. </w:t>
      </w:r>
      <w:proofErr w:type="spellStart"/>
      <w:r>
        <w:t>Bobek</w:t>
      </w:r>
      <w:proofErr w:type="spellEnd"/>
      <w:r>
        <w:t xml:space="preserve">, conclusions sous CJUE, 10 août 2017, </w:t>
      </w:r>
      <w:proofErr w:type="spellStart"/>
      <w:r w:rsidRPr="00684827">
        <w:rPr>
          <w:i/>
        </w:rPr>
        <w:t>Tadas</w:t>
      </w:r>
      <w:proofErr w:type="spellEnd"/>
      <w:r w:rsidRPr="00684827">
        <w:rPr>
          <w:i/>
        </w:rPr>
        <w:t xml:space="preserve"> </w:t>
      </w:r>
      <w:proofErr w:type="spellStart"/>
      <w:r w:rsidRPr="00684827">
        <w:rPr>
          <w:i/>
        </w:rPr>
        <w:t>Tupikas</w:t>
      </w:r>
      <w:proofErr w:type="spellEnd"/>
      <w:r>
        <w:t>, Aff. C-270/17 PP</w:t>
      </w:r>
      <w:r w:rsidR="00DA0B47">
        <w:t>U</w:t>
      </w:r>
      <w:r>
        <w:t>, pt 82 : « les concepts de reconnaissance et de confiance mutuelles ne peuvent occulter l’importance que le droit de l’Union, en général, et la décision-cadre [relative au mandat d’arrêt européen], en particulier, attachent au respect des droits fondamentaux, en l’occurrence procéduraux ».</w:t>
      </w:r>
    </w:p>
  </w:footnote>
  <w:footnote w:id="125">
    <w:p w14:paraId="32941C19" w14:textId="23C5D9C3" w:rsidR="008932FA" w:rsidRPr="00684827" w:rsidRDefault="008932FA" w:rsidP="00634778">
      <w:pPr>
        <w:pStyle w:val="Notedebasdepage"/>
        <w:spacing w:after="0"/>
      </w:pPr>
      <w:r>
        <w:rPr>
          <w:rStyle w:val="Appelnotedebasdep"/>
        </w:rPr>
        <w:footnoteRef/>
      </w:r>
      <w:r>
        <w:t xml:space="preserve"> A. Gaillet, </w:t>
      </w:r>
      <w:r w:rsidRPr="007D346F">
        <w:rPr>
          <w:i/>
        </w:rPr>
        <w:t>op.</w:t>
      </w:r>
      <w:r>
        <w:rPr>
          <w:i/>
        </w:rPr>
        <w:t xml:space="preserve"> </w:t>
      </w:r>
      <w:proofErr w:type="gramStart"/>
      <w:r>
        <w:rPr>
          <w:i/>
        </w:rPr>
        <w:t>cit</w:t>
      </w:r>
      <w:proofErr w:type="gramEnd"/>
      <w:r>
        <w:t xml:space="preserve">., p. 1118 : en s’attachant </w:t>
      </w:r>
      <w:r w:rsidRPr="00684827">
        <w:t>dans l</w:t>
      </w:r>
      <w:r>
        <w:t>’</w:t>
      </w:r>
      <w:r w:rsidRPr="00684827">
        <w:t>arrêt qu</w:t>
      </w:r>
      <w:r>
        <w:t>’</w:t>
      </w:r>
      <w:r w:rsidRPr="00684827">
        <w:t>elle a rendu sur le mandat d</w:t>
      </w:r>
      <w:r>
        <w:t>’</w:t>
      </w:r>
      <w:r w:rsidRPr="00684827">
        <w:t>arrêt européen « à souligner tant l</w:t>
      </w:r>
      <w:r>
        <w:t>’</w:t>
      </w:r>
      <w:r w:rsidRPr="00684827">
        <w:t>importance de la confiance mutuelle que ses déficits manifeste</w:t>
      </w:r>
      <w:r w:rsidR="00BF33B3">
        <w:t>s</w:t>
      </w:r>
      <w:r w:rsidRPr="00684827">
        <w:t> », la juridiction constitutionnelle peut être comprise comme exprimant « une volonté de contribuer au renforcement de ce principe, si central pour la construction européenne et pourtant si souvent mis à mal dans l</w:t>
      </w:r>
      <w:r>
        <w:t>’</w:t>
      </w:r>
      <w:r w:rsidRPr="00684827">
        <w:t>Europe des crises actuelles ».</w:t>
      </w:r>
    </w:p>
  </w:footnote>
  <w:footnote w:id="126">
    <w:p w14:paraId="5A1F1F02" w14:textId="5FD2842B" w:rsidR="008932FA" w:rsidRDefault="008932FA" w:rsidP="00634778">
      <w:pPr>
        <w:pStyle w:val="Notedebasdepage"/>
        <w:spacing w:after="0"/>
      </w:pPr>
      <w:r>
        <w:rPr>
          <w:rStyle w:val="Appelnotedebasdep"/>
        </w:rPr>
        <w:footnoteRef/>
      </w:r>
      <w:r>
        <w:t xml:space="preserve"> </w:t>
      </w:r>
      <w:r w:rsidRPr="00190B42">
        <w:rPr>
          <w:spacing w:val="-2"/>
        </w:rPr>
        <w:t>V</w:t>
      </w:r>
      <w:r w:rsidRPr="00190B42">
        <w:rPr>
          <w:rStyle w:val="documentfirstua"/>
          <w:spacing w:val="-2"/>
        </w:rPr>
        <w:t xml:space="preserve">. Constantinesco, « La primauté du droit communautaire, mythe ou réalité ? », </w:t>
      </w:r>
      <w:r w:rsidRPr="00190B42">
        <w:rPr>
          <w:rStyle w:val="documentfirstua"/>
          <w:i/>
          <w:spacing w:val="-2"/>
        </w:rPr>
        <w:t>Mélanges L. J. Constantinesco</w:t>
      </w:r>
      <w:r>
        <w:rPr>
          <w:rStyle w:val="documentfirstua"/>
        </w:rPr>
        <w:t xml:space="preserve">, Cologne, Carl </w:t>
      </w:r>
      <w:proofErr w:type="spellStart"/>
      <w:r>
        <w:rPr>
          <w:rStyle w:val="documentfirstua"/>
        </w:rPr>
        <w:t>Heymanns</w:t>
      </w:r>
      <w:proofErr w:type="spellEnd"/>
      <w:r>
        <w:rPr>
          <w:rStyle w:val="documentfirstua"/>
        </w:rPr>
        <w:t xml:space="preserve"> </w:t>
      </w:r>
      <w:proofErr w:type="spellStart"/>
      <w:r>
        <w:rPr>
          <w:rStyle w:val="documentfirstua"/>
        </w:rPr>
        <w:t>Verlag</w:t>
      </w:r>
      <w:proofErr w:type="spellEnd"/>
      <w:r>
        <w:rPr>
          <w:rStyle w:val="documentfirstua"/>
        </w:rPr>
        <w:t>, 1983, p. 109.</w:t>
      </w:r>
    </w:p>
  </w:footnote>
  <w:footnote w:id="127">
    <w:p w14:paraId="76F57673" w14:textId="75876578" w:rsidR="008932FA" w:rsidRPr="001C3B87" w:rsidRDefault="008932FA" w:rsidP="00634778">
      <w:pPr>
        <w:pStyle w:val="Notedebasdepage"/>
        <w:spacing w:after="0"/>
      </w:pPr>
      <w:r>
        <w:rPr>
          <w:rStyle w:val="Appelnotedebasdep"/>
        </w:rPr>
        <w:footnoteRef/>
      </w:r>
      <w:r>
        <w:t xml:space="preserve"> Le Professeur Aurore Gaillet (</w:t>
      </w:r>
      <w:r>
        <w:rPr>
          <w:i/>
        </w:rPr>
        <w:t xml:space="preserve">op. </w:t>
      </w:r>
      <w:proofErr w:type="gramStart"/>
      <w:r>
        <w:rPr>
          <w:i/>
        </w:rPr>
        <w:t>cit</w:t>
      </w:r>
      <w:proofErr w:type="gramEnd"/>
      <w:r>
        <w:rPr>
          <w:i/>
        </w:rPr>
        <w:t>.</w:t>
      </w:r>
      <w:r>
        <w:t>, p. 1114) constate à ce sujet que le mandat d’arrêt européen a déjà grandement participé au dialogue entre les juridictions constitutionnelles et la Cour de justice</w:t>
      </w:r>
      <w:r w:rsidR="00DA0B47">
        <w:t>,</w:t>
      </w:r>
      <w:r>
        <w:t xml:space="preserve"> </w:t>
      </w:r>
      <w:r w:rsidR="00DA0B47">
        <w:t>grâce aux</w:t>
      </w:r>
      <w:r>
        <w:t xml:space="preserve"> renvois préjudiciels opérés par les juges espagnols, italiens, et français. </w:t>
      </w:r>
      <w:r w:rsidR="00DA0B47">
        <w:t>On peut</w:t>
      </w:r>
      <w:r>
        <w:t xml:space="preserve"> ajouter </w:t>
      </w:r>
      <w:r w:rsidR="00DA0B47">
        <w:t>un</w:t>
      </w:r>
      <w:r>
        <w:t xml:space="preserve"> renvoi en appréciation de validité opéré antérieurement par le juge constitutionnel belge (CJCE, 3 mai 2007, </w:t>
      </w:r>
      <w:proofErr w:type="spellStart"/>
      <w:r>
        <w:rPr>
          <w:i/>
        </w:rPr>
        <w:t>Advocaten</w:t>
      </w:r>
      <w:proofErr w:type="spellEnd"/>
      <w:r>
        <w:rPr>
          <w:i/>
        </w:rPr>
        <w:t xml:space="preserve"> </w:t>
      </w:r>
      <w:proofErr w:type="spellStart"/>
      <w:r>
        <w:rPr>
          <w:i/>
        </w:rPr>
        <w:t>voor</w:t>
      </w:r>
      <w:proofErr w:type="spellEnd"/>
      <w:r>
        <w:rPr>
          <w:i/>
        </w:rPr>
        <w:t xml:space="preserve"> de </w:t>
      </w:r>
      <w:proofErr w:type="spellStart"/>
      <w:r>
        <w:rPr>
          <w:i/>
        </w:rPr>
        <w:t>Wereld</w:t>
      </w:r>
      <w:proofErr w:type="spellEnd"/>
      <w:r>
        <w:t xml:space="preserve">, Aff. C-393/05). Il faut cependant </w:t>
      </w:r>
      <w:r w:rsidR="00DA0B47">
        <w:t xml:space="preserve">espérer </w:t>
      </w:r>
      <w:r>
        <w:t xml:space="preserve">que ce dialogue continue de se faire de manière loyale et </w:t>
      </w:r>
      <w:r w:rsidR="00DA0B47">
        <w:t xml:space="preserve">dans un esprit de </w:t>
      </w:r>
      <w:r>
        <w:t xml:space="preserve">confiance entre les juridictions suprêmes de l’espace normatif européen (C. D. </w:t>
      </w:r>
      <w:proofErr w:type="spellStart"/>
      <w:r>
        <w:t>Classen</w:t>
      </w:r>
      <w:proofErr w:type="spellEnd"/>
      <w:r>
        <w:t xml:space="preserve">, </w:t>
      </w:r>
      <w:r w:rsidRPr="007D346F">
        <w:rPr>
          <w:i/>
        </w:rPr>
        <w:t>op.</w:t>
      </w:r>
      <w:r>
        <w:rPr>
          <w:i/>
        </w:rPr>
        <w:t xml:space="preserve"> </w:t>
      </w:r>
      <w:proofErr w:type="gramStart"/>
      <w:r>
        <w:rPr>
          <w:i/>
        </w:rPr>
        <w:t>cit</w:t>
      </w:r>
      <w:proofErr w:type="gramEnd"/>
      <w:r>
        <w:rPr>
          <w:i/>
        </w:rPr>
        <w:t>.</w:t>
      </w:r>
      <w:r>
        <w:t>, p. 686).</w:t>
      </w:r>
    </w:p>
  </w:footnote>
  <w:footnote w:id="128">
    <w:p w14:paraId="41CE1B1B" w14:textId="783FC0B7" w:rsidR="008932FA" w:rsidRPr="008B06D7" w:rsidRDefault="008932FA" w:rsidP="00634778">
      <w:pPr>
        <w:pStyle w:val="Notedebasdepage"/>
        <w:spacing w:after="0"/>
        <w:rPr>
          <w:i/>
        </w:rPr>
      </w:pPr>
      <w:r w:rsidRPr="001C3B87">
        <w:rPr>
          <w:rStyle w:val="Appelnotedebasdep"/>
        </w:rPr>
        <w:footnoteRef/>
      </w:r>
      <w:r w:rsidRPr="001C3B87">
        <w:t xml:space="preserve"> </w:t>
      </w:r>
      <w:r w:rsidRPr="0050500F">
        <w:rPr>
          <w:spacing w:val="-2"/>
        </w:rPr>
        <w:t>Une telle solution permettrait, sans remettre en cause le principe hiérarchique (pour une proposition en faveur de l’hétéra</w:t>
      </w:r>
      <w:r w:rsidR="00BF33B3">
        <w:rPr>
          <w:spacing w:val="-2"/>
        </w:rPr>
        <w:t>r</w:t>
      </w:r>
      <w:bookmarkStart w:id="2" w:name="_GoBack"/>
      <w:bookmarkEnd w:id="2"/>
      <w:r w:rsidRPr="0050500F">
        <w:rPr>
          <w:spacing w:val="-2"/>
        </w:rPr>
        <w:t xml:space="preserve">chie, voir D. </w:t>
      </w:r>
      <w:proofErr w:type="spellStart"/>
      <w:r w:rsidRPr="0050500F">
        <w:rPr>
          <w:spacing w:val="-2"/>
        </w:rPr>
        <w:t>Ritleng</w:t>
      </w:r>
      <w:proofErr w:type="spellEnd"/>
      <w:r w:rsidRPr="0050500F">
        <w:rPr>
          <w:spacing w:val="-2"/>
        </w:rPr>
        <w:t xml:space="preserve">, « De l’utilité du principe de primauté du droit de l’Union », </w:t>
      </w:r>
      <w:r w:rsidRPr="0050500F">
        <w:rPr>
          <w:i/>
          <w:spacing w:val="-2"/>
        </w:rPr>
        <w:t xml:space="preserve">RTD </w:t>
      </w:r>
      <w:proofErr w:type="spellStart"/>
      <w:r w:rsidRPr="0050500F">
        <w:rPr>
          <w:i/>
          <w:spacing w:val="-2"/>
        </w:rPr>
        <w:t>Eur</w:t>
      </w:r>
      <w:proofErr w:type="spellEnd"/>
      <w:r w:rsidRPr="0050500F">
        <w:rPr>
          <w:spacing w:val="-2"/>
        </w:rPr>
        <w:t xml:space="preserve">, 2009, p. 677), d’assurer l’absence de conflit par une politique jurisprudentielle dialogique de convergence (voir sur l’importance du dialogue pour la primauté : G. Marti, « L’avenir de la primauté : le dialogue des juges ? », </w:t>
      </w:r>
      <w:r w:rsidRPr="0050500F">
        <w:rPr>
          <w:i/>
          <w:spacing w:val="-2"/>
        </w:rPr>
        <w:t>RUE</w:t>
      </w:r>
      <w:r w:rsidRPr="0050500F">
        <w:rPr>
          <w:spacing w:val="-2"/>
        </w:rPr>
        <w:t>, n° 593, p. 638).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27A07"/>
    <w:multiLevelType w:val="hybridMultilevel"/>
    <w:tmpl w:val="C22C97F6"/>
    <w:lvl w:ilvl="0" w:tplc="17A8CC7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9A78F6"/>
    <w:multiLevelType w:val="hybridMultilevel"/>
    <w:tmpl w:val="961AE24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11B4C61"/>
    <w:multiLevelType w:val="hybridMultilevel"/>
    <w:tmpl w:val="B2F86232"/>
    <w:lvl w:ilvl="0" w:tplc="87C05E78">
      <w:numFmt w:val="bullet"/>
      <w:lvlText w:val=""/>
      <w:lvlJc w:val="left"/>
      <w:pPr>
        <w:ind w:left="420" w:hanging="360"/>
      </w:pPr>
      <w:rPr>
        <w:rFonts w:ascii="Wingdings" w:eastAsia="Times New Roman" w:hAnsi="Wingdings"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25FD1C9C"/>
    <w:multiLevelType w:val="hybridMultilevel"/>
    <w:tmpl w:val="701690A0"/>
    <w:lvl w:ilvl="0" w:tplc="18141956">
      <w:start w:val="34"/>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046AF3"/>
    <w:multiLevelType w:val="hybridMultilevel"/>
    <w:tmpl w:val="8FDC8576"/>
    <w:lvl w:ilvl="0" w:tplc="693A68A8">
      <w:start w:val="34"/>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D4863B9"/>
    <w:multiLevelType w:val="hybridMultilevel"/>
    <w:tmpl w:val="80BE748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EDC6749"/>
    <w:multiLevelType w:val="hybridMultilevel"/>
    <w:tmpl w:val="B48A9CD4"/>
    <w:lvl w:ilvl="0" w:tplc="62FAA97E">
      <w:start w:val="9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8C205D"/>
    <w:multiLevelType w:val="hybridMultilevel"/>
    <w:tmpl w:val="F4CCC622"/>
    <w:lvl w:ilvl="0" w:tplc="3C142BCE">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3B56A4"/>
    <w:multiLevelType w:val="hybridMultilevel"/>
    <w:tmpl w:val="6E02B552"/>
    <w:lvl w:ilvl="0" w:tplc="4B8A494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32B285E"/>
    <w:multiLevelType w:val="hybridMultilevel"/>
    <w:tmpl w:val="302A4C5C"/>
    <w:lvl w:ilvl="0" w:tplc="80B89142">
      <w:start w:val="3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62A1808"/>
    <w:multiLevelType w:val="hybridMultilevel"/>
    <w:tmpl w:val="63B6A920"/>
    <w:lvl w:ilvl="0" w:tplc="C2C6BFB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FCF269D"/>
    <w:multiLevelType w:val="hybridMultilevel"/>
    <w:tmpl w:val="8884BE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0324B2C"/>
    <w:multiLevelType w:val="hybridMultilevel"/>
    <w:tmpl w:val="1422C518"/>
    <w:lvl w:ilvl="0" w:tplc="906E5A7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163067F"/>
    <w:multiLevelType w:val="hybridMultilevel"/>
    <w:tmpl w:val="C72678B4"/>
    <w:lvl w:ilvl="0" w:tplc="040C0001">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7FA4985"/>
    <w:multiLevelType w:val="hybridMultilevel"/>
    <w:tmpl w:val="B14057DC"/>
    <w:lvl w:ilvl="0" w:tplc="F026A3D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84C2B5E"/>
    <w:multiLevelType w:val="hybridMultilevel"/>
    <w:tmpl w:val="9A426A46"/>
    <w:lvl w:ilvl="0" w:tplc="044E6C92">
      <w:start w:val="3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9817EF4"/>
    <w:multiLevelType w:val="hybridMultilevel"/>
    <w:tmpl w:val="92E0168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F3D0468"/>
    <w:multiLevelType w:val="hybridMultilevel"/>
    <w:tmpl w:val="FF46D58C"/>
    <w:lvl w:ilvl="0" w:tplc="040C0001">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8746EA4"/>
    <w:multiLevelType w:val="hybridMultilevel"/>
    <w:tmpl w:val="2EBE8EDC"/>
    <w:lvl w:ilvl="0" w:tplc="6A966834">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11C0DF6"/>
    <w:multiLevelType w:val="hybridMultilevel"/>
    <w:tmpl w:val="2238049C"/>
    <w:lvl w:ilvl="0" w:tplc="2084EDCA">
      <w:start w:val="1"/>
      <w:numFmt w:val="upperLetter"/>
      <w:pStyle w:val="Titre3"/>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6E04188"/>
    <w:multiLevelType w:val="hybridMultilevel"/>
    <w:tmpl w:val="C9542E98"/>
    <w:lvl w:ilvl="0" w:tplc="3B9C1A8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D9B70AD"/>
    <w:multiLevelType w:val="hybridMultilevel"/>
    <w:tmpl w:val="A45E2812"/>
    <w:lvl w:ilvl="0" w:tplc="B606946E">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3"/>
  </w:num>
  <w:num w:numId="4">
    <w:abstractNumId w:val="4"/>
  </w:num>
  <w:num w:numId="5">
    <w:abstractNumId w:val="6"/>
  </w:num>
  <w:num w:numId="6">
    <w:abstractNumId w:val="1"/>
  </w:num>
  <w:num w:numId="7">
    <w:abstractNumId w:val="16"/>
  </w:num>
  <w:num w:numId="8">
    <w:abstractNumId w:val="19"/>
  </w:num>
  <w:num w:numId="9">
    <w:abstractNumId w:val="10"/>
  </w:num>
  <w:num w:numId="10">
    <w:abstractNumId w:val="13"/>
  </w:num>
  <w:num w:numId="11">
    <w:abstractNumId w:val="17"/>
  </w:num>
  <w:num w:numId="12">
    <w:abstractNumId w:val="0"/>
  </w:num>
  <w:num w:numId="13">
    <w:abstractNumId w:val="11"/>
  </w:num>
  <w:num w:numId="14">
    <w:abstractNumId w:val="18"/>
  </w:num>
  <w:num w:numId="15">
    <w:abstractNumId w:val="14"/>
  </w:num>
  <w:num w:numId="16">
    <w:abstractNumId w:val="2"/>
  </w:num>
  <w:num w:numId="17">
    <w:abstractNumId w:val="8"/>
  </w:num>
  <w:num w:numId="18">
    <w:abstractNumId w:val="12"/>
  </w:num>
  <w:num w:numId="19">
    <w:abstractNumId w:val="20"/>
  </w:num>
  <w:num w:numId="20">
    <w:abstractNumId w:val="5"/>
  </w:num>
  <w:num w:numId="21">
    <w:abstractNumId w:val="19"/>
    <w:lvlOverride w:ilvl="0">
      <w:startOverride w:val="1"/>
    </w:lvlOverride>
  </w:num>
  <w:num w:numId="22">
    <w:abstractNumId w:val="7"/>
  </w:num>
  <w:num w:numId="2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ançois-Vivien GUIOT">
    <w15:presenceInfo w15:providerId="None" w15:userId="François-Vivien GUI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activeWritingStyle w:appName="MSWord" w:lang="fr-FR" w:vendorID="64" w:dllVersion="131078" w:nlCheck="1" w:checkStyle="0"/>
  <w:activeWritingStyle w:appName="MSWord" w:lang="en-US" w:vendorID="64" w:dllVersion="131078" w:nlCheck="1" w:checkStyle="1"/>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84EE3"/>
    <w:rsid w:val="0000177A"/>
    <w:rsid w:val="00004587"/>
    <w:rsid w:val="0000472F"/>
    <w:rsid w:val="000055F4"/>
    <w:rsid w:val="0000630B"/>
    <w:rsid w:val="00006E13"/>
    <w:rsid w:val="00013C8B"/>
    <w:rsid w:val="00014DD9"/>
    <w:rsid w:val="000153C5"/>
    <w:rsid w:val="00020228"/>
    <w:rsid w:val="00020B17"/>
    <w:rsid w:val="00023E01"/>
    <w:rsid w:val="000263F3"/>
    <w:rsid w:val="00027230"/>
    <w:rsid w:val="00027AA6"/>
    <w:rsid w:val="00027ADC"/>
    <w:rsid w:val="000501C0"/>
    <w:rsid w:val="000533F2"/>
    <w:rsid w:val="000541CA"/>
    <w:rsid w:val="00055FC0"/>
    <w:rsid w:val="00057BD6"/>
    <w:rsid w:val="00060056"/>
    <w:rsid w:val="00060E8F"/>
    <w:rsid w:val="00062115"/>
    <w:rsid w:val="00065DF1"/>
    <w:rsid w:val="00067F83"/>
    <w:rsid w:val="000763EA"/>
    <w:rsid w:val="0007709B"/>
    <w:rsid w:val="00084DA9"/>
    <w:rsid w:val="00085BA3"/>
    <w:rsid w:val="00092984"/>
    <w:rsid w:val="00096F7C"/>
    <w:rsid w:val="00096FCB"/>
    <w:rsid w:val="0009745C"/>
    <w:rsid w:val="000A09DF"/>
    <w:rsid w:val="000A69BB"/>
    <w:rsid w:val="000B3B4C"/>
    <w:rsid w:val="000B601F"/>
    <w:rsid w:val="000B614E"/>
    <w:rsid w:val="000B669B"/>
    <w:rsid w:val="000C2635"/>
    <w:rsid w:val="000C33E9"/>
    <w:rsid w:val="000C5715"/>
    <w:rsid w:val="000D3F79"/>
    <w:rsid w:val="000E0345"/>
    <w:rsid w:val="000E04D7"/>
    <w:rsid w:val="000E38B8"/>
    <w:rsid w:val="000E6927"/>
    <w:rsid w:val="000E78B7"/>
    <w:rsid w:val="001022AB"/>
    <w:rsid w:val="00106912"/>
    <w:rsid w:val="00106BEB"/>
    <w:rsid w:val="0011482F"/>
    <w:rsid w:val="00114CDA"/>
    <w:rsid w:val="0011738D"/>
    <w:rsid w:val="00121B61"/>
    <w:rsid w:val="00125723"/>
    <w:rsid w:val="0012654F"/>
    <w:rsid w:val="0013016C"/>
    <w:rsid w:val="0013640F"/>
    <w:rsid w:val="00136543"/>
    <w:rsid w:val="0013665C"/>
    <w:rsid w:val="00140835"/>
    <w:rsid w:val="00143842"/>
    <w:rsid w:val="001515A1"/>
    <w:rsid w:val="00153D01"/>
    <w:rsid w:val="001571DD"/>
    <w:rsid w:val="00157CF1"/>
    <w:rsid w:val="00160D71"/>
    <w:rsid w:val="001627F9"/>
    <w:rsid w:val="001645A9"/>
    <w:rsid w:val="0017212D"/>
    <w:rsid w:val="001760C8"/>
    <w:rsid w:val="0017717F"/>
    <w:rsid w:val="00177A4C"/>
    <w:rsid w:val="00181382"/>
    <w:rsid w:val="001821D9"/>
    <w:rsid w:val="00182F4E"/>
    <w:rsid w:val="00183763"/>
    <w:rsid w:val="00190B42"/>
    <w:rsid w:val="001A00E8"/>
    <w:rsid w:val="001A4C6C"/>
    <w:rsid w:val="001A613E"/>
    <w:rsid w:val="001A7C7A"/>
    <w:rsid w:val="001B650E"/>
    <w:rsid w:val="001B7C19"/>
    <w:rsid w:val="001C05A9"/>
    <w:rsid w:val="001C37BE"/>
    <w:rsid w:val="001C3B87"/>
    <w:rsid w:val="001C60EC"/>
    <w:rsid w:val="001D0054"/>
    <w:rsid w:val="001D355D"/>
    <w:rsid w:val="001D527D"/>
    <w:rsid w:val="001D54D2"/>
    <w:rsid w:val="001D623E"/>
    <w:rsid w:val="001D6D6D"/>
    <w:rsid w:val="001D7DDA"/>
    <w:rsid w:val="001F6160"/>
    <w:rsid w:val="001F7FBF"/>
    <w:rsid w:val="0020042F"/>
    <w:rsid w:val="00204DC7"/>
    <w:rsid w:val="00206868"/>
    <w:rsid w:val="00206BA7"/>
    <w:rsid w:val="00206CCB"/>
    <w:rsid w:val="00216B39"/>
    <w:rsid w:val="00221844"/>
    <w:rsid w:val="00231E73"/>
    <w:rsid w:val="00231F09"/>
    <w:rsid w:val="00236743"/>
    <w:rsid w:val="00244C83"/>
    <w:rsid w:val="0025426C"/>
    <w:rsid w:val="0025640B"/>
    <w:rsid w:val="00257DA2"/>
    <w:rsid w:val="002631B9"/>
    <w:rsid w:val="0026612C"/>
    <w:rsid w:val="00266FF1"/>
    <w:rsid w:val="0026715B"/>
    <w:rsid w:val="002715D5"/>
    <w:rsid w:val="002744EF"/>
    <w:rsid w:val="00274ACE"/>
    <w:rsid w:val="00280CE5"/>
    <w:rsid w:val="00282698"/>
    <w:rsid w:val="0029178F"/>
    <w:rsid w:val="00291D80"/>
    <w:rsid w:val="002964BB"/>
    <w:rsid w:val="00297320"/>
    <w:rsid w:val="002A00E3"/>
    <w:rsid w:val="002A36E4"/>
    <w:rsid w:val="002A652D"/>
    <w:rsid w:val="002A757C"/>
    <w:rsid w:val="002B3C6D"/>
    <w:rsid w:val="002B552F"/>
    <w:rsid w:val="002C0D78"/>
    <w:rsid w:val="002C475C"/>
    <w:rsid w:val="002D1D00"/>
    <w:rsid w:val="002D76FA"/>
    <w:rsid w:val="002E4817"/>
    <w:rsid w:val="002E51CE"/>
    <w:rsid w:val="002E5F8F"/>
    <w:rsid w:val="002F22C9"/>
    <w:rsid w:val="002F51B2"/>
    <w:rsid w:val="00302AC3"/>
    <w:rsid w:val="00310B38"/>
    <w:rsid w:val="003154E4"/>
    <w:rsid w:val="003230B8"/>
    <w:rsid w:val="0032556C"/>
    <w:rsid w:val="00332B75"/>
    <w:rsid w:val="00341815"/>
    <w:rsid w:val="00342979"/>
    <w:rsid w:val="00343B15"/>
    <w:rsid w:val="00353680"/>
    <w:rsid w:val="00357419"/>
    <w:rsid w:val="00360BEF"/>
    <w:rsid w:val="0036232A"/>
    <w:rsid w:val="00362F52"/>
    <w:rsid w:val="00363D19"/>
    <w:rsid w:val="0036762C"/>
    <w:rsid w:val="0037095F"/>
    <w:rsid w:val="0037136E"/>
    <w:rsid w:val="003714BD"/>
    <w:rsid w:val="00374AA3"/>
    <w:rsid w:val="00376909"/>
    <w:rsid w:val="00376CAB"/>
    <w:rsid w:val="00382CBD"/>
    <w:rsid w:val="003840DC"/>
    <w:rsid w:val="00384EE3"/>
    <w:rsid w:val="003870A1"/>
    <w:rsid w:val="0039136A"/>
    <w:rsid w:val="00393B95"/>
    <w:rsid w:val="00395AAD"/>
    <w:rsid w:val="003961FD"/>
    <w:rsid w:val="00396AD3"/>
    <w:rsid w:val="00397647"/>
    <w:rsid w:val="003979CF"/>
    <w:rsid w:val="003A0795"/>
    <w:rsid w:val="003A2819"/>
    <w:rsid w:val="003A4E59"/>
    <w:rsid w:val="003A7038"/>
    <w:rsid w:val="003B049D"/>
    <w:rsid w:val="003B09A3"/>
    <w:rsid w:val="003B09A5"/>
    <w:rsid w:val="003B0EDB"/>
    <w:rsid w:val="003B1A7D"/>
    <w:rsid w:val="003B5BAF"/>
    <w:rsid w:val="003B66FA"/>
    <w:rsid w:val="003C241D"/>
    <w:rsid w:val="003C275F"/>
    <w:rsid w:val="003C29AF"/>
    <w:rsid w:val="003C3DE6"/>
    <w:rsid w:val="003C6F11"/>
    <w:rsid w:val="003C7E50"/>
    <w:rsid w:val="003D0117"/>
    <w:rsid w:val="003D364E"/>
    <w:rsid w:val="003D49B1"/>
    <w:rsid w:val="003D6C78"/>
    <w:rsid w:val="003E61F4"/>
    <w:rsid w:val="003F61AD"/>
    <w:rsid w:val="00402CEF"/>
    <w:rsid w:val="00402DCD"/>
    <w:rsid w:val="004042BD"/>
    <w:rsid w:val="004070E6"/>
    <w:rsid w:val="00422D1A"/>
    <w:rsid w:val="00424967"/>
    <w:rsid w:val="00426DC8"/>
    <w:rsid w:val="0043121A"/>
    <w:rsid w:val="0043293C"/>
    <w:rsid w:val="004343D7"/>
    <w:rsid w:val="00434ADE"/>
    <w:rsid w:val="00434DC2"/>
    <w:rsid w:val="0043582C"/>
    <w:rsid w:val="00441FA1"/>
    <w:rsid w:val="004523CB"/>
    <w:rsid w:val="00452F91"/>
    <w:rsid w:val="00454D63"/>
    <w:rsid w:val="004614F5"/>
    <w:rsid w:val="00461E05"/>
    <w:rsid w:val="004739B2"/>
    <w:rsid w:val="0047646C"/>
    <w:rsid w:val="00486138"/>
    <w:rsid w:val="00492DB7"/>
    <w:rsid w:val="004938EE"/>
    <w:rsid w:val="00494269"/>
    <w:rsid w:val="00496B1D"/>
    <w:rsid w:val="00497189"/>
    <w:rsid w:val="00497CF8"/>
    <w:rsid w:val="004A42AD"/>
    <w:rsid w:val="004B0391"/>
    <w:rsid w:val="004B4AFC"/>
    <w:rsid w:val="004C0111"/>
    <w:rsid w:val="004C2BF7"/>
    <w:rsid w:val="004C7652"/>
    <w:rsid w:val="004D0279"/>
    <w:rsid w:val="004D6037"/>
    <w:rsid w:val="004D66E5"/>
    <w:rsid w:val="004D76D9"/>
    <w:rsid w:val="004E20C8"/>
    <w:rsid w:val="004E5E34"/>
    <w:rsid w:val="004E64DA"/>
    <w:rsid w:val="004E70C4"/>
    <w:rsid w:val="004F217D"/>
    <w:rsid w:val="004F3CBA"/>
    <w:rsid w:val="004F41D8"/>
    <w:rsid w:val="004F66DD"/>
    <w:rsid w:val="0050500F"/>
    <w:rsid w:val="0050666D"/>
    <w:rsid w:val="00507933"/>
    <w:rsid w:val="005126C9"/>
    <w:rsid w:val="00513823"/>
    <w:rsid w:val="00517807"/>
    <w:rsid w:val="00523A5A"/>
    <w:rsid w:val="00530D42"/>
    <w:rsid w:val="005322D0"/>
    <w:rsid w:val="005337BC"/>
    <w:rsid w:val="005361D6"/>
    <w:rsid w:val="00536D20"/>
    <w:rsid w:val="00536FB9"/>
    <w:rsid w:val="00537F8F"/>
    <w:rsid w:val="0054330A"/>
    <w:rsid w:val="00551BB4"/>
    <w:rsid w:val="00552734"/>
    <w:rsid w:val="00554603"/>
    <w:rsid w:val="005561B8"/>
    <w:rsid w:val="00556AD0"/>
    <w:rsid w:val="00562306"/>
    <w:rsid w:val="00562612"/>
    <w:rsid w:val="00570E6D"/>
    <w:rsid w:val="00572D00"/>
    <w:rsid w:val="005733C9"/>
    <w:rsid w:val="00574751"/>
    <w:rsid w:val="005775D7"/>
    <w:rsid w:val="00581655"/>
    <w:rsid w:val="0058632D"/>
    <w:rsid w:val="005913EE"/>
    <w:rsid w:val="005A0386"/>
    <w:rsid w:val="005A3170"/>
    <w:rsid w:val="005A5B23"/>
    <w:rsid w:val="005A70F8"/>
    <w:rsid w:val="005B0C51"/>
    <w:rsid w:val="005B1314"/>
    <w:rsid w:val="005B1399"/>
    <w:rsid w:val="005C3048"/>
    <w:rsid w:val="005C6DB8"/>
    <w:rsid w:val="005E1165"/>
    <w:rsid w:val="005E12F5"/>
    <w:rsid w:val="005E3860"/>
    <w:rsid w:val="005E7346"/>
    <w:rsid w:val="005F1A83"/>
    <w:rsid w:val="005F2C7D"/>
    <w:rsid w:val="00600DA6"/>
    <w:rsid w:val="00606544"/>
    <w:rsid w:val="0061391A"/>
    <w:rsid w:val="00615A39"/>
    <w:rsid w:val="006210F6"/>
    <w:rsid w:val="0062263C"/>
    <w:rsid w:val="006229DC"/>
    <w:rsid w:val="00624609"/>
    <w:rsid w:val="00624B80"/>
    <w:rsid w:val="00627DA8"/>
    <w:rsid w:val="00627FA9"/>
    <w:rsid w:val="00634778"/>
    <w:rsid w:val="00635032"/>
    <w:rsid w:val="00637A29"/>
    <w:rsid w:val="00641179"/>
    <w:rsid w:val="0064342B"/>
    <w:rsid w:val="00643B9A"/>
    <w:rsid w:val="0064465B"/>
    <w:rsid w:val="006452C4"/>
    <w:rsid w:val="00655EA1"/>
    <w:rsid w:val="00657055"/>
    <w:rsid w:val="00662ABE"/>
    <w:rsid w:val="00664F0E"/>
    <w:rsid w:val="006650D1"/>
    <w:rsid w:val="006676FB"/>
    <w:rsid w:val="006679F5"/>
    <w:rsid w:val="00675491"/>
    <w:rsid w:val="006778B6"/>
    <w:rsid w:val="00680E3F"/>
    <w:rsid w:val="00682A9D"/>
    <w:rsid w:val="00684827"/>
    <w:rsid w:val="00686A00"/>
    <w:rsid w:val="006874C0"/>
    <w:rsid w:val="00687770"/>
    <w:rsid w:val="00691CE3"/>
    <w:rsid w:val="006945F3"/>
    <w:rsid w:val="006949D6"/>
    <w:rsid w:val="0069548C"/>
    <w:rsid w:val="0069763C"/>
    <w:rsid w:val="006A0D0D"/>
    <w:rsid w:val="006A1E2F"/>
    <w:rsid w:val="006A4FC0"/>
    <w:rsid w:val="006A50EA"/>
    <w:rsid w:val="006A761D"/>
    <w:rsid w:val="006B43B1"/>
    <w:rsid w:val="006C44BB"/>
    <w:rsid w:val="006C57A6"/>
    <w:rsid w:val="006C5E09"/>
    <w:rsid w:val="006C62BB"/>
    <w:rsid w:val="006C6BF6"/>
    <w:rsid w:val="006D0BD0"/>
    <w:rsid w:val="006D5144"/>
    <w:rsid w:val="006D6D97"/>
    <w:rsid w:val="006E19B7"/>
    <w:rsid w:val="006E3442"/>
    <w:rsid w:val="006E61E0"/>
    <w:rsid w:val="006F55F1"/>
    <w:rsid w:val="006F7497"/>
    <w:rsid w:val="006F750A"/>
    <w:rsid w:val="00703D54"/>
    <w:rsid w:val="00706C42"/>
    <w:rsid w:val="007109D1"/>
    <w:rsid w:val="007154DB"/>
    <w:rsid w:val="007162BE"/>
    <w:rsid w:val="0071697B"/>
    <w:rsid w:val="00717938"/>
    <w:rsid w:val="007210E3"/>
    <w:rsid w:val="007237A8"/>
    <w:rsid w:val="007250E8"/>
    <w:rsid w:val="00726497"/>
    <w:rsid w:val="00726D13"/>
    <w:rsid w:val="00730802"/>
    <w:rsid w:val="0073089B"/>
    <w:rsid w:val="00731B53"/>
    <w:rsid w:val="007340ED"/>
    <w:rsid w:val="00736844"/>
    <w:rsid w:val="00737334"/>
    <w:rsid w:val="00737EE2"/>
    <w:rsid w:val="007418EF"/>
    <w:rsid w:val="00741CF0"/>
    <w:rsid w:val="00753534"/>
    <w:rsid w:val="00760C75"/>
    <w:rsid w:val="007644A2"/>
    <w:rsid w:val="007654B1"/>
    <w:rsid w:val="0078116C"/>
    <w:rsid w:val="00790B70"/>
    <w:rsid w:val="00790ECA"/>
    <w:rsid w:val="00797093"/>
    <w:rsid w:val="007A2FD7"/>
    <w:rsid w:val="007B196E"/>
    <w:rsid w:val="007B1CF0"/>
    <w:rsid w:val="007B230B"/>
    <w:rsid w:val="007B379E"/>
    <w:rsid w:val="007B3FAF"/>
    <w:rsid w:val="007C14AC"/>
    <w:rsid w:val="007C3F79"/>
    <w:rsid w:val="007C4682"/>
    <w:rsid w:val="007C48D2"/>
    <w:rsid w:val="007C7D05"/>
    <w:rsid w:val="007D346F"/>
    <w:rsid w:val="007D41CB"/>
    <w:rsid w:val="007D463C"/>
    <w:rsid w:val="007E01CA"/>
    <w:rsid w:val="007E5351"/>
    <w:rsid w:val="007E63C9"/>
    <w:rsid w:val="007E6CF8"/>
    <w:rsid w:val="007E74FF"/>
    <w:rsid w:val="007E7A9E"/>
    <w:rsid w:val="0080235D"/>
    <w:rsid w:val="00802BFB"/>
    <w:rsid w:val="008038CF"/>
    <w:rsid w:val="00804BCB"/>
    <w:rsid w:val="008051DC"/>
    <w:rsid w:val="00805F38"/>
    <w:rsid w:val="00806FDD"/>
    <w:rsid w:val="00807F9A"/>
    <w:rsid w:val="00811D46"/>
    <w:rsid w:val="00814463"/>
    <w:rsid w:val="00814E51"/>
    <w:rsid w:val="00824706"/>
    <w:rsid w:val="008311AC"/>
    <w:rsid w:val="00832983"/>
    <w:rsid w:val="00833CBC"/>
    <w:rsid w:val="00835FB2"/>
    <w:rsid w:val="00836B9E"/>
    <w:rsid w:val="00840D7C"/>
    <w:rsid w:val="00844170"/>
    <w:rsid w:val="00847162"/>
    <w:rsid w:val="00847285"/>
    <w:rsid w:val="0085194F"/>
    <w:rsid w:val="00853245"/>
    <w:rsid w:val="00857922"/>
    <w:rsid w:val="00861A20"/>
    <w:rsid w:val="0086280A"/>
    <w:rsid w:val="00863793"/>
    <w:rsid w:val="00864A03"/>
    <w:rsid w:val="00865F3E"/>
    <w:rsid w:val="00867517"/>
    <w:rsid w:val="008701B4"/>
    <w:rsid w:val="00873972"/>
    <w:rsid w:val="00874BA9"/>
    <w:rsid w:val="00877822"/>
    <w:rsid w:val="00885171"/>
    <w:rsid w:val="008932FA"/>
    <w:rsid w:val="008944C3"/>
    <w:rsid w:val="00894581"/>
    <w:rsid w:val="0089522B"/>
    <w:rsid w:val="008A0FE6"/>
    <w:rsid w:val="008A1C2B"/>
    <w:rsid w:val="008A2047"/>
    <w:rsid w:val="008A643A"/>
    <w:rsid w:val="008B06D7"/>
    <w:rsid w:val="008B06ED"/>
    <w:rsid w:val="008B5C63"/>
    <w:rsid w:val="008B73DB"/>
    <w:rsid w:val="008C00A1"/>
    <w:rsid w:val="008C39F5"/>
    <w:rsid w:val="008C4E34"/>
    <w:rsid w:val="008C7E4D"/>
    <w:rsid w:val="008D1047"/>
    <w:rsid w:val="008D2222"/>
    <w:rsid w:val="008D5569"/>
    <w:rsid w:val="008D7614"/>
    <w:rsid w:val="008D7E0F"/>
    <w:rsid w:val="008E07FC"/>
    <w:rsid w:val="008E1544"/>
    <w:rsid w:val="008E60FA"/>
    <w:rsid w:val="008F13C5"/>
    <w:rsid w:val="008F2EA7"/>
    <w:rsid w:val="008F58A7"/>
    <w:rsid w:val="00900043"/>
    <w:rsid w:val="0090004E"/>
    <w:rsid w:val="0090473B"/>
    <w:rsid w:val="00904C80"/>
    <w:rsid w:val="0090654B"/>
    <w:rsid w:val="0092125A"/>
    <w:rsid w:val="0092341B"/>
    <w:rsid w:val="009275F1"/>
    <w:rsid w:val="00931690"/>
    <w:rsid w:val="00933561"/>
    <w:rsid w:val="00934317"/>
    <w:rsid w:val="00936FD6"/>
    <w:rsid w:val="009379C4"/>
    <w:rsid w:val="0094483F"/>
    <w:rsid w:val="00947A4E"/>
    <w:rsid w:val="00947A74"/>
    <w:rsid w:val="00947C3F"/>
    <w:rsid w:val="00952E41"/>
    <w:rsid w:val="00953261"/>
    <w:rsid w:val="00955026"/>
    <w:rsid w:val="0097120F"/>
    <w:rsid w:val="009721A7"/>
    <w:rsid w:val="009778BE"/>
    <w:rsid w:val="0098703D"/>
    <w:rsid w:val="009902D2"/>
    <w:rsid w:val="00990EAA"/>
    <w:rsid w:val="0099245B"/>
    <w:rsid w:val="00994D03"/>
    <w:rsid w:val="00997117"/>
    <w:rsid w:val="009A7D04"/>
    <w:rsid w:val="009B06F4"/>
    <w:rsid w:val="009B0BFE"/>
    <w:rsid w:val="009B77D6"/>
    <w:rsid w:val="009C3C82"/>
    <w:rsid w:val="009C4F20"/>
    <w:rsid w:val="009C72B8"/>
    <w:rsid w:val="009D0E20"/>
    <w:rsid w:val="009D2484"/>
    <w:rsid w:val="009E35BB"/>
    <w:rsid w:val="009E5C91"/>
    <w:rsid w:val="009F655A"/>
    <w:rsid w:val="00A01FB0"/>
    <w:rsid w:val="00A032D5"/>
    <w:rsid w:val="00A140FC"/>
    <w:rsid w:val="00A17DAB"/>
    <w:rsid w:val="00A20BCC"/>
    <w:rsid w:val="00A20DFD"/>
    <w:rsid w:val="00A24887"/>
    <w:rsid w:val="00A30265"/>
    <w:rsid w:val="00A3028C"/>
    <w:rsid w:val="00A31C28"/>
    <w:rsid w:val="00A3640D"/>
    <w:rsid w:val="00A36686"/>
    <w:rsid w:val="00A43892"/>
    <w:rsid w:val="00A44067"/>
    <w:rsid w:val="00A4714E"/>
    <w:rsid w:val="00A5253F"/>
    <w:rsid w:val="00A568C6"/>
    <w:rsid w:val="00A57F13"/>
    <w:rsid w:val="00A758EA"/>
    <w:rsid w:val="00A814BC"/>
    <w:rsid w:val="00A8257F"/>
    <w:rsid w:val="00A83695"/>
    <w:rsid w:val="00A83742"/>
    <w:rsid w:val="00A87BD3"/>
    <w:rsid w:val="00A90FEF"/>
    <w:rsid w:val="00A918CB"/>
    <w:rsid w:val="00A92A1A"/>
    <w:rsid w:val="00A950A6"/>
    <w:rsid w:val="00AA15D5"/>
    <w:rsid w:val="00AA1736"/>
    <w:rsid w:val="00AA1DAA"/>
    <w:rsid w:val="00AA31FE"/>
    <w:rsid w:val="00AA3A6D"/>
    <w:rsid w:val="00AA6739"/>
    <w:rsid w:val="00AA6A69"/>
    <w:rsid w:val="00AA78B4"/>
    <w:rsid w:val="00AB5E4B"/>
    <w:rsid w:val="00AB6616"/>
    <w:rsid w:val="00AC031D"/>
    <w:rsid w:val="00AC2101"/>
    <w:rsid w:val="00AC4995"/>
    <w:rsid w:val="00AD02F8"/>
    <w:rsid w:val="00AD24A2"/>
    <w:rsid w:val="00AD3846"/>
    <w:rsid w:val="00AD3FBD"/>
    <w:rsid w:val="00AD65C2"/>
    <w:rsid w:val="00AE2E6A"/>
    <w:rsid w:val="00AE6200"/>
    <w:rsid w:val="00AF0C69"/>
    <w:rsid w:val="00AF1AED"/>
    <w:rsid w:val="00AF37E3"/>
    <w:rsid w:val="00AF517C"/>
    <w:rsid w:val="00AF5E5F"/>
    <w:rsid w:val="00B03EB8"/>
    <w:rsid w:val="00B11131"/>
    <w:rsid w:val="00B15EB0"/>
    <w:rsid w:val="00B22417"/>
    <w:rsid w:val="00B26F09"/>
    <w:rsid w:val="00B31CC8"/>
    <w:rsid w:val="00B34A80"/>
    <w:rsid w:val="00B444FD"/>
    <w:rsid w:val="00B46428"/>
    <w:rsid w:val="00B474FB"/>
    <w:rsid w:val="00B47A4F"/>
    <w:rsid w:val="00B50DE9"/>
    <w:rsid w:val="00B51AE4"/>
    <w:rsid w:val="00B51BFD"/>
    <w:rsid w:val="00B526DE"/>
    <w:rsid w:val="00B53D64"/>
    <w:rsid w:val="00B544D3"/>
    <w:rsid w:val="00B63BBE"/>
    <w:rsid w:val="00B71DD7"/>
    <w:rsid w:val="00B72A2C"/>
    <w:rsid w:val="00B72B4C"/>
    <w:rsid w:val="00B737AE"/>
    <w:rsid w:val="00B76C38"/>
    <w:rsid w:val="00B81095"/>
    <w:rsid w:val="00B82C57"/>
    <w:rsid w:val="00B82EBA"/>
    <w:rsid w:val="00B83440"/>
    <w:rsid w:val="00B87AA8"/>
    <w:rsid w:val="00B97B1B"/>
    <w:rsid w:val="00BA046E"/>
    <w:rsid w:val="00BA14DB"/>
    <w:rsid w:val="00BA5CDA"/>
    <w:rsid w:val="00BA642D"/>
    <w:rsid w:val="00BA7D37"/>
    <w:rsid w:val="00BB134E"/>
    <w:rsid w:val="00BB4FF2"/>
    <w:rsid w:val="00BB5C50"/>
    <w:rsid w:val="00BC14BA"/>
    <w:rsid w:val="00BC2DE2"/>
    <w:rsid w:val="00BC3E64"/>
    <w:rsid w:val="00BD024D"/>
    <w:rsid w:val="00BD2B53"/>
    <w:rsid w:val="00BD5B46"/>
    <w:rsid w:val="00BD613C"/>
    <w:rsid w:val="00BE1A3D"/>
    <w:rsid w:val="00BE2EC4"/>
    <w:rsid w:val="00BE7010"/>
    <w:rsid w:val="00BF1B0D"/>
    <w:rsid w:val="00BF33B3"/>
    <w:rsid w:val="00BF38E1"/>
    <w:rsid w:val="00BF3918"/>
    <w:rsid w:val="00BF5D0D"/>
    <w:rsid w:val="00BF7E99"/>
    <w:rsid w:val="00C05C14"/>
    <w:rsid w:val="00C07C0E"/>
    <w:rsid w:val="00C12E9E"/>
    <w:rsid w:val="00C177BA"/>
    <w:rsid w:val="00C20031"/>
    <w:rsid w:val="00C20DE0"/>
    <w:rsid w:val="00C24198"/>
    <w:rsid w:val="00C316D4"/>
    <w:rsid w:val="00C3598B"/>
    <w:rsid w:val="00C36C95"/>
    <w:rsid w:val="00C4088A"/>
    <w:rsid w:val="00C42DED"/>
    <w:rsid w:val="00C4655A"/>
    <w:rsid w:val="00C47CAC"/>
    <w:rsid w:val="00C50699"/>
    <w:rsid w:val="00C539A0"/>
    <w:rsid w:val="00C64600"/>
    <w:rsid w:val="00C66F63"/>
    <w:rsid w:val="00C673D7"/>
    <w:rsid w:val="00C674A0"/>
    <w:rsid w:val="00C70061"/>
    <w:rsid w:val="00C72B39"/>
    <w:rsid w:val="00C763B5"/>
    <w:rsid w:val="00C76C99"/>
    <w:rsid w:val="00C84BF7"/>
    <w:rsid w:val="00C9027A"/>
    <w:rsid w:val="00C972ED"/>
    <w:rsid w:val="00CA01DF"/>
    <w:rsid w:val="00CA2B26"/>
    <w:rsid w:val="00CB5811"/>
    <w:rsid w:val="00CB705E"/>
    <w:rsid w:val="00CC25C6"/>
    <w:rsid w:val="00CD30A0"/>
    <w:rsid w:val="00CD38C4"/>
    <w:rsid w:val="00CD3BAE"/>
    <w:rsid w:val="00CD66CE"/>
    <w:rsid w:val="00CD6B7E"/>
    <w:rsid w:val="00CD7B16"/>
    <w:rsid w:val="00CE402B"/>
    <w:rsid w:val="00CE416D"/>
    <w:rsid w:val="00CE458C"/>
    <w:rsid w:val="00CE53EC"/>
    <w:rsid w:val="00CE5CCD"/>
    <w:rsid w:val="00CF3888"/>
    <w:rsid w:val="00CF64AC"/>
    <w:rsid w:val="00CF684F"/>
    <w:rsid w:val="00D05872"/>
    <w:rsid w:val="00D0707F"/>
    <w:rsid w:val="00D070F6"/>
    <w:rsid w:val="00D07D1C"/>
    <w:rsid w:val="00D13C2B"/>
    <w:rsid w:val="00D160E4"/>
    <w:rsid w:val="00D23895"/>
    <w:rsid w:val="00D24BE0"/>
    <w:rsid w:val="00D314F6"/>
    <w:rsid w:val="00D36E29"/>
    <w:rsid w:val="00D41781"/>
    <w:rsid w:val="00D4213E"/>
    <w:rsid w:val="00D50B9B"/>
    <w:rsid w:val="00D51ACA"/>
    <w:rsid w:val="00D562F8"/>
    <w:rsid w:val="00D568D9"/>
    <w:rsid w:val="00D6057B"/>
    <w:rsid w:val="00D67839"/>
    <w:rsid w:val="00D7035A"/>
    <w:rsid w:val="00D71C69"/>
    <w:rsid w:val="00D744F7"/>
    <w:rsid w:val="00D7524A"/>
    <w:rsid w:val="00D8230F"/>
    <w:rsid w:val="00D836CE"/>
    <w:rsid w:val="00D920BD"/>
    <w:rsid w:val="00D92A29"/>
    <w:rsid w:val="00D95E57"/>
    <w:rsid w:val="00DA0B47"/>
    <w:rsid w:val="00DA1C7C"/>
    <w:rsid w:val="00DA2D40"/>
    <w:rsid w:val="00DA4EE7"/>
    <w:rsid w:val="00DA7FAF"/>
    <w:rsid w:val="00DB2795"/>
    <w:rsid w:val="00DC0515"/>
    <w:rsid w:val="00DC1F92"/>
    <w:rsid w:val="00DC628D"/>
    <w:rsid w:val="00DD5EB9"/>
    <w:rsid w:val="00DD7331"/>
    <w:rsid w:val="00DD7F9C"/>
    <w:rsid w:val="00DF1AA8"/>
    <w:rsid w:val="00DF5A16"/>
    <w:rsid w:val="00E05D24"/>
    <w:rsid w:val="00E060DC"/>
    <w:rsid w:val="00E10811"/>
    <w:rsid w:val="00E1182D"/>
    <w:rsid w:val="00E14C52"/>
    <w:rsid w:val="00E170B4"/>
    <w:rsid w:val="00E23DEF"/>
    <w:rsid w:val="00E36ABE"/>
    <w:rsid w:val="00E40243"/>
    <w:rsid w:val="00E403BB"/>
    <w:rsid w:val="00E439FA"/>
    <w:rsid w:val="00E43B7B"/>
    <w:rsid w:val="00E464EC"/>
    <w:rsid w:val="00E466D4"/>
    <w:rsid w:val="00E50CAA"/>
    <w:rsid w:val="00E5586E"/>
    <w:rsid w:val="00E560C5"/>
    <w:rsid w:val="00E56D92"/>
    <w:rsid w:val="00E6086D"/>
    <w:rsid w:val="00E61D8C"/>
    <w:rsid w:val="00E6369E"/>
    <w:rsid w:val="00E65D46"/>
    <w:rsid w:val="00E70121"/>
    <w:rsid w:val="00E710BD"/>
    <w:rsid w:val="00E721E8"/>
    <w:rsid w:val="00E82A58"/>
    <w:rsid w:val="00E84599"/>
    <w:rsid w:val="00E85163"/>
    <w:rsid w:val="00E85E50"/>
    <w:rsid w:val="00E8705A"/>
    <w:rsid w:val="00E915EF"/>
    <w:rsid w:val="00E95B6F"/>
    <w:rsid w:val="00E95E02"/>
    <w:rsid w:val="00E97C92"/>
    <w:rsid w:val="00EA7695"/>
    <w:rsid w:val="00EA797F"/>
    <w:rsid w:val="00EB0188"/>
    <w:rsid w:val="00EB3D5E"/>
    <w:rsid w:val="00EB489D"/>
    <w:rsid w:val="00EB4B7C"/>
    <w:rsid w:val="00EC6037"/>
    <w:rsid w:val="00ED293C"/>
    <w:rsid w:val="00ED5A28"/>
    <w:rsid w:val="00ED5A7A"/>
    <w:rsid w:val="00EE004F"/>
    <w:rsid w:val="00EE6C2B"/>
    <w:rsid w:val="00EE7A54"/>
    <w:rsid w:val="00EF62D9"/>
    <w:rsid w:val="00F022D4"/>
    <w:rsid w:val="00F13B1D"/>
    <w:rsid w:val="00F20350"/>
    <w:rsid w:val="00F23EB1"/>
    <w:rsid w:val="00F312D5"/>
    <w:rsid w:val="00F362E5"/>
    <w:rsid w:val="00F44CA9"/>
    <w:rsid w:val="00F4518E"/>
    <w:rsid w:val="00F50533"/>
    <w:rsid w:val="00F50B5C"/>
    <w:rsid w:val="00F53C19"/>
    <w:rsid w:val="00F54D8C"/>
    <w:rsid w:val="00F55219"/>
    <w:rsid w:val="00F6735F"/>
    <w:rsid w:val="00F701A6"/>
    <w:rsid w:val="00F71313"/>
    <w:rsid w:val="00F72F24"/>
    <w:rsid w:val="00F75486"/>
    <w:rsid w:val="00F765CD"/>
    <w:rsid w:val="00F7712D"/>
    <w:rsid w:val="00F77457"/>
    <w:rsid w:val="00F77A99"/>
    <w:rsid w:val="00F804CD"/>
    <w:rsid w:val="00F87545"/>
    <w:rsid w:val="00F91BB5"/>
    <w:rsid w:val="00F972E1"/>
    <w:rsid w:val="00FA0794"/>
    <w:rsid w:val="00FA2934"/>
    <w:rsid w:val="00FA7195"/>
    <w:rsid w:val="00FB1147"/>
    <w:rsid w:val="00FB3C4A"/>
    <w:rsid w:val="00FB4208"/>
    <w:rsid w:val="00FB4F74"/>
    <w:rsid w:val="00FB5BC0"/>
    <w:rsid w:val="00FB7EB5"/>
    <w:rsid w:val="00FC00E4"/>
    <w:rsid w:val="00FC12E8"/>
    <w:rsid w:val="00FC17E5"/>
    <w:rsid w:val="00FC1E05"/>
    <w:rsid w:val="00FC1F23"/>
    <w:rsid w:val="00FC4FDA"/>
    <w:rsid w:val="00FC761F"/>
    <w:rsid w:val="00FD1542"/>
    <w:rsid w:val="00FD2A88"/>
    <w:rsid w:val="00FD3854"/>
    <w:rsid w:val="00FD7ADC"/>
    <w:rsid w:val="00FE20CF"/>
    <w:rsid w:val="00FE257E"/>
    <w:rsid w:val="00FE2CF1"/>
    <w:rsid w:val="00FE306B"/>
    <w:rsid w:val="00FF1B39"/>
    <w:rsid w:val="00FF5CA4"/>
    <w:rsid w:val="00FF78C8"/>
    <w:rsid w:val="00FF7B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65C53"/>
  <w15:docId w15:val="{0BB959B7-8617-467B-8319-6418915C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CF8"/>
    <w:pPr>
      <w:spacing w:line="360" w:lineRule="auto"/>
      <w:jc w:val="both"/>
    </w:pPr>
    <w:rPr>
      <w:rFonts w:ascii="Times New Roman" w:hAnsi="Times New Roman"/>
      <w:sz w:val="24"/>
    </w:rPr>
  </w:style>
  <w:style w:type="paragraph" w:styleId="Titre1">
    <w:name w:val="heading 1"/>
    <w:basedOn w:val="Normal"/>
    <w:next w:val="Normal"/>
    <w:link w:val="Titre1Car"/>
    <w:uiPriority w:val="9"/>
    <w:qFormat/>
    <w:rsid w:val="007E6CF8"/>
    <w:pPr>
      <w:keepNext/>
      <w:keepLines/>
      <w:spacing w:before="480" w:after="0"/>
      <w:jc w:val="center"/>
      <w:outlineLvl w:val="0"/>
    </w:pPr>
    <w:rPr>
      <w:rFonts w:eastAsiaTheme="majorEastAsia" w:cstheme="majorBidi"/>
      <w:b/>
      <w:bCs/>
      <w:i/>
      <w:sz w:val="32"/>
      <w:szCs w:val="28"/>
    </w:rPr>
  </w:style>
  <w:style w:type="paragraph" w:styleId="Titre2">
    <w:name w:val="heading 2"/>
    <w:basedOn w:val="Normal"/>
    <w:next w:val="Normal"/>
    <w:link w:val="Titre2Car"/>
    <w:uiPriority w:val="9"/>
    <w:unhideWhenUsed/>
    <w:qFormat/>
    <w:rsid w:val="007E6CF8"/>
    <w:pPr>
      <w:keepNext/>
      <w:keepLines/>
      <w:spacing w:before="200" w:after="0"/>
      <w:outlineLvl w:val="1"/>
    </w:pPr>
    <w:rPr>
      <w:rFonts w:eastAsiaTheme="majorEastAsia" w:cstheme="majorBidi"/>
      <w:b/>
      <w:bCs/>
      <w:sz w:val="32"/>
      <w:szCs w:val="26"/>
    </w:rPr>
  </w:style>
  <w:style w:type="paragraph" w:styleId="Titre3">
    <w:name w:val="heading 3"/>
    <w:basedOn w:val="Normal"/>
    <w:next w:val="Normal"/>
    <w:link w:val="Titre3Car"/>
    <w:autoRedefine/>
    <w:uiPriority w:val="9"/>
    <w:unhideWhenUsed/>
    <w:qFormat/>
    <w:rsid w:val="00655EA1"/>
    <w:pPr>
      <w:keepNext/>
      <w:keepLines/>
      <w:numPr>
        <w:numId w:val="8"/>
      </w:numPr>
      <w:spacing w:before="200" w:after="0"/>
      <w:outlineLvl w:val="2"/>
    </w:pPr>
    <w:rPr>
      <w:rFonts w:eastAsiaTheme="majorEastAsia" w:cstheme="majorBidi"/>
      <w:b/>
      <w:bCs/>
      <w:i/>
      <w:sz w:val="32"/>
      <w:szCs w:val="28"/>
    </w:rPr>
  </w:style>
  <w:style w:type="paragraph" w:styleId="Titre4">
    <w:name w:val="heading 4"/>
    <w:basedOn w:val="Normal"/>
    <w:next w:val="Normal"/>
    <w:link w:val="Titre4Car"/>
    <w:uiPriority w:val="9"/>
    <w:unhideWhenUsed/>
    <w:qFormat/>
    <w:rsid w:val="007E6CF8"/>
    <w:pPr>
      <w:keepNext/>
      <w:keepLines/>
      <w:spacing w:before="200" w:after="0"/>
      <w:outlineLvl w:val="3"/>
    </w:pPr>
    <w:rPr>
      <w:rFonts w:eastAsiaTheme="majorEastAsia" w:cs="Times New Roman"/>
      <w:b/>
      <w:bCs/>
      <w:iCs/>
      <w:sz w:val="28"/>
    </w:rPr>
  </w:style>
  <w:style w:type="paragraph" w:styleId="Titre5">
    <w:name w:val="heading 5"/>
    <w:basedOn w:val="Normal"/>
    <w:next w:val="Normal"/>
    <w:link w:val="Titre5Car"/>
    <w:uiPriority w:val="9"/>
    <w:unhideWhenUsed/>
    <w:qFormat/>
    <w:rsid w:val="007E6CF8"/>
    <w:pPr>
      <w:keepNext/>
      <w:keepLines/>
      <w:spacing w:before="200" w:after="0"/>
      <w:outlineLvl w:val="4"/>
    </w:pPr>
    <w:rPr>
      <w:rFonts w:eastAsiaTheme="majorEastAsia" w:cs="Times New Roman"/>
      <w:b/>
      <w:i/>
      <w:sz w:val="28"/>
    </w:rPr>
  </w:style>
  <w:style w:type="paragraph" w:styleId="Titre6">
    <w:name w:val="heading 6"/>
    <w:basedOn w:val="Normal"/>
    <w:next w:val="Normal"/>
    <w:link w:val="Titre6Car"/>
    <w:uiPriority w:val="9"/>
    <w:unhideWhenUsed/>
    <w:qFormat/>
    <w:rsid w:val="007E6CF8"/>
    <w:pPr>
      <w:outlineLvl w:val="5"/>
    </w:pPr>
    <w:rPr>
      <w:b/>
    </w:rPr>
  </w:style>
  <w:style w:type="paragraph" w:styleId="Titre7">
    <w:name w:val="heading 7"/>
    <w:basedOn w:val="Normal"/>
    <w:next w:val="Normal"/>
    <w:link w:val="Titre7Car"/>
    <w:uiPriority w:val="9"/>
    <w:unhideWhenUsed/>
    <w:qFormat/>
    <w:rsid w:val="007E6CF8"/>
    <w:pPr>
      <w:keepNext/>
      <w:keepLines/>
      <w:spacing w:before="200" w:after="0"/>
      <w:outlineLvl w:val="6"/>
    </w:pPr>
    <w:rPr>
      <w:rFonts w:eastAsiaTheme="majorEastAsia" w:cs="Times New Roman"/>
      <w:b/>
      <w:i/>
      <w:iCs/>
    </w:rPr>
  </w:style>
  <w:style w:type="paragraph" w:styleId="Titre8">
    <w:name w:val="heading 8"/>
    <w:basedOn w:val="Normal"/>
    <w:next w:val="Normal"/>
    <w:link w:val="Titre8Car"/>
    <w:uiPriority w:val="9"/>
    <w:unhideWhenUsed/>
    <w:qFormat/>
    <w:rsid w:val="007E6CF8"/>
    <w:pPr>
      <w:keepNext/>
      <w:keepLines/>
      <w:spacing w:before="200" w:after="0"/>
      <w:outlineLvl w:val="7"/>
    </w:pPr>
    <w:rPr>
      <w:rFonts w:eastAsiaTheme="majorEastAsia" w:cs="Times New Roman"/>
      <w:szCs w:val="24"/>
      <w:u w:val="single"/>
    </w:rPr>
  </w:style>
  <w:style w:type="paragraph" w:styleId="Titre9">
    <w:name w:val="heading 9"/>
    <w:basedOn w:val="Normal"/>
    <w:next w:val="Normal"/>
    <w:link w:val="Titre9Car"/>
    <w:uiPriority w:val="9"/>
    <w:unhideWhenUsed/>
    <w:qFormat/>
    <w:rsid w:val="007E6CF8"/>
    <w:pPr>
      <w:keepNext/>
      <w:keepLines/>
      <w:spacing w:before="200" w:after="0"/>
      <w:outlineLvl w:val="8"/>
    </w:pPr>
    <w:rPr>
      <w:rFonts w:eastAsiaTheme="majorEastAsia" w:cs="Times New Roman"/>
      <w:i/>
      <w:iCs/>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6CF8"/>
    <w:rPr>
      <w:rFonts w:ascii="Times New Roman" w:eastAsiaTheme="majorEastAsia" w:hAnsi="Times New Roman" w:cstheme="majorBidi"/>
      <w:b/>
      <w:bCs/>
      <w:i/>
      <w:sz w:val="32"/>
      <w:szCs w:val="28"/>
    </w:rPr>
  </w:style>
  <w:style w:type="character" w:customStyle="1" w:styleId="Titre2Car">
    <w:name w:val="Titre 2 Car"/>
    <w:basedOn w:val="Policepardfaut"/>
    <w:link w:val="Titre2"/>
    <w:uiPriority w:val="9"/>
    <w:rsid w:val="007E6CF8"/>
    <w:rPr>
      <w:rFonts w:ascii="Times New Roman" w:eastAsiaTheme="majorEastAsia" w:hAnsi="Times New Roman" w:cstheme="majorBidi"/>
      <w:b/>
      <w:bCs/>
      <w:sz w:val="32"/>
      <w:szCs w:val="26"/>
    </w:rPr>
  </w:style>
  <w:style w:type="character" w:customStyle="1" w:styleId="Titre3Car">
    <w:name w:val="Titre 3 Car"/>
    <w:basedOn w:val="Policepardfaut"/>
    <w:link w:val="Titre3"/>
    <w:uiPriority w:val="9"/>
    <w:rsid w:val="00655EA1"/>
    <w:rPr>
      <w:rFonts w:ascii="Times New Roman" w:eastAsiaTheme="majorEastAsia" w:hAnsi="Times New Roman" w:cstheme="majorBidi"/>
      <w:b/>
      <w:bCs/>
      <w:i/>
      <w:sz w:val="32"/>
      <w:szCs w:val="28"/>
    </w:rPr>
  </w:style>
  <w:style w:type="character" w:customStyle="1" w:styleId="Titre4Car">
    <w:name w:val="Titre 4 Car"/>
    <w:basedOn w:val="Policepardfaut"/>
    <w:link w:val="Titre4"/>
    <w:uiPriority w:val="9"/>
    <w:rsid w:val="007E6CF8"/>
    <w:rPr>
      <w:rFonts w:ascii="Times New Roman" w:eastAsiaTheme="majorEastAsia" w:hAnsi="Times New Roman" w:cs="Times New Roman"/>
      <w:b/>
      <w:bCs/>
      <w:iCs/>
      <w:sz w:val="28"/>
    </w:rPr>
  </w:style>
  <w:style w:type="character" w:customStyle="1" w:styleId="Titre5Car">
    <w:name w:val="Titre 5 Car"/>
    <w:basedOn w:val="Policepardfaut"/>
    <w:link w:val="Titre5"/>
    <w:uiPriority w:val="9"/>
    <w:rsid w:val="007E6CF8"/>
    <w:rPr>
      <w:rFonts w:ascii="Times New Roman" w:eastAsiaTheme="majorEastAsia" w:hAnsi="Times New Roman" w:cs="Times New Roman"/>
      <w:b/>
      <w:i/>
      <w:sz w:val="28"/>
    </w:rPr>
  </w:style>
  <w:style w:type="character" w:customStyle="1" w:styleId="Titre6Car">
    <w:name w:val="Titre 6 Car"/>
    <w:basedOn w:val="Policepardfaut"/>
    <w:link w:val="Titre6"/>
    <w:uiPriority w:val="9"/>
    <w:rsid w:val="007E6CF8"/>
    <w:rPr>
      <w:rFonts w:ascii="Times New Roman" w:hAnsi="Times New Roman"/>
      <w:b/>
      <w:sz w:val="24"/>
    </w:rPr>
  </w:style>
  <w:style w:type="character" w:customStyle="1" w:styleId="Titre7Car">
    <w:name w:val="Titre 7 Car"/>
    <w:basedOn w:val="Policepardfaut"/>
    <w:link w:val="Titre7"/>
    <w:uiPriority w:val="9"/>
    <w:rsid w:val="007E6CF8"/>
    <w:rPr>
      <w:rFonts w:ascii="Times New Roman" w:eastAsiaTheme="majorEastAsia" w:hAnsi="Times New Roman" w:cs="Times New Roman"/>
      <w:b/>
      <w:i/>
      <w:iCs/>
      <w:sz w:val="24"/>
    </w:rPr>
  </w:style>
  <w:style w:type="character" w:customStyle="1" w:styleId="Titre8Car">
    <w:name w:val="Titre 8 Car"/>
    <w:basedOn w:val="Policepardfaut"/>
    <w:link w:val="Titre8"/>
    <w:uiPriority w:val="9"/>
    <w:rsid w:val="007E6CF8"/>
    <w:rPr>
      <w:rFonts w:ascii="Times New Roman" w:eastAsiaTheme="majorEastAsia" w:hAnsi="Times New Roman" w:cs="Times New Roman"/>
      <w:sz w:val="24"/>
      <w:szCs w:val="24"/>
      <w:u w:val="single"/>
    </w:rPr>
  </w:style>
  <w:style w:type="character" w:customStyle="1" w:styleId="Titre9Car">
    <w:name w:val="Titre 9 Car"/>
    <w:basedOn w:val="Policepardfaut"/>
    <w:link w:val="Titre9"/>
    <w:uiPriority w:val="9"/>
    <w:rsid w:val="007E6CF8"/>
    <w:rPr>
      <w:rFonts w:ascii="Times New Roman" w:eastAsiaTheme="majorEastAsia" w:hAnsi="Times New Roman" w:cs="Times New Roman"/>
      <w:i/>
      <w:iCs/>
      <w:sz w:val="24"/>
      <w:szCs w:val="24"/>
    </w:rPr>
  </w:style>
  <w:style w:type="paragraph" w:styleId="TM1">
    <w:name w:val="toc 1"/>
    <w:basedOn w:val="Normal"/>
    <w:next w:val="Normal"/>
    <w:autoRedefine/>
    <w:uiPriority w:val="39"/>
    <w:unhideWhenUsed/>
    <w:qFormat/>
    <w:rsid w:val="007E6CF8"/>
    <w:pPr>
      <w:spacing w:after="100" w:line="276" w:lineRule="auto"/>
      <w:jc w:val="left"/>
    </w:pPr>
    <w:rPr>
      <w:rFonts w:asciiTheme="minorHAnsi" w:eastAsiaTheme="minorEastAsia" w:hAnsiTheme="minorHAnsi"/>
      <w:sz w:val="22"/>
    </w:rPr>
  </w:style>
  <w:style w:type="paragraph" w:styleId="TM2">
    <w:name w:val="toc 2"/>
    <w:basedOn w:val="Normal"/>
    <w:next w:val="Normal"/>
    <w:autoRedefine/>
    <w:uiPriority w:val="39"/>
    <w:unhideWhenUsed/>
    <w:qFormat/>
    <w:rsid w:val="007E6CF8"/>
    <w:pPr>
      <w:spacing w:after="100"/>
      <w:ind w:left="240"/>
    </w:pPr>
  </w:style>
  <w:style w:type="paragraph" w:styleId="TM3">
    <w:name w:val="toc 3"/>
    <w:basedOn w:val="Normal"/>
    <w:next w:val="Normal"/>
    <w:autoRedefine/>
    <w:uiPriority w:val="39"/>
    <w:unhideWhenUsed/>
    <w:qFormat/>
    <w:rsid w:val="007E6CF8"/>
    <w:pPr>
      <w:spacing w:after="100"/>
      <w:ind w:left="480"/>
    </w:pPr>
  </w:style>
  <w:style w:type="paragraph" w:styleId="Notedebasdepage">
    <w:name w:val="footnote text"/>
    <w:basedOn w:val="Normal"/>
    <w:link w:val="NotedebasdepageCar"/>
    <w:autoRedefine/>
    <w:uiPriority w:val="99"/>
    <w:unhideWhenUsed/>
    <w:qFormat/>
    <w:rsid w:val="00624609"/>
    <w:pPr>
      <w:keepNext/>
      <w:spacing w:after="120" w:line="240" w:lineRule="auto"/>
    </w:pPr>
    <w:rPr>
      <w:sz w:val="20"/>
      <w:szCs w:val="20"/>
    </w:rPr>
  </w:style>
  <w:style w:type="character" w:customStyle="1" w:styleId="NotedebasdepageCar">
    <w:name w:val="Note de bas de page Car"/>
    <w:basedOn w:val="Policepardfaut"/>
    <w:link w:val="Notedebasdepage"/>
    <w:uiPriority w:val="99"/>
    <w:rsid w:val="00624609"/>
    <w:rPr>
      <w:rFonts w:ascii="Times New Roman" w:hAnsi="Times New Roman"/>
      <w:sz w:val="20"/>
      <w:szCs w:val="20"/>
    </w:rPr>
  </w:style>
  <w:style w:type="paragraph" w:styleId="Sous-titre">
    <w:name w:val="Subtitle"/>
    <w:basedOn w:val="Normal"/>
    <w:next w:val="Normal"/>
    <w:link w:val="Sous-titreCar"/>
    <w:uiPriority w:val="12"/>
    <w:qFormat/>
    <w:rsid w:val="007E6CF8"/>
    <w:pPr>
      <w:numPr>
        <w:ilvl w:val="1"/>
      </w:numPr>
    </w:pPr>
    <w:rPr>
      <w:rFonts w:asciiTheme="majorHAnsi" w:eastAsiaTheme="majorEastAsia" w:hAnsiTheme="majorHAnsi" w:cstheme="majorBidi"/>
      <w:i/>
      <w:iCs/>
      <w:color w:val="4F81BD" w:themeColor="accent1"/>
      <w:spacing w:val="15"/>
      <w:szCs w:val="24"/>
    </w:rPr>
  </w:style>
  <w:style w:type="character" w:customStyle="1" w:styleId="Sous-titreCar">
    <w:name w:val="Sous-titre Car"/>
    <w:basedOn w:val="Policepardfaut"/>
    <w:link w:val="Sous-titre"/>
    <w:uiPriority w:val="12"/>
    <w:rsid w:val="007E6CF8"/>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7E6CF8"/>
    <w:pPr>
      <w:ind w:left="720"/>
      <w:contextualSpacing/>
    </w:pPr>
  </w:style>
  <w:style w:type="character" w:styleId="Rfrenceintense">
    <w:name w:val="Intense Reference"/>
    <w:basedOn w:val="Policepardfaut"/>
    <w:uiPriority w:val="32"/>
    <w:qFormat/>
    <w:rsid w:val="007E6CF8"/>
    <w:rPr>
      <w:b/>
      <w:bCs/>
      <w:smallCaps/>
      <w:color w:val="C0504D" w:themeColor="accent2"/>
      <w:spacing w:val="5"/>
      <w:u w:val="single"/>
    </w:rPr>
  </w:style>
  <w:style w:type="paragraph" w:styleId="En-ttedetabledesmatires">
    <w:name w:val="TOC Heading"/>
    <w:basedOn w:val="Titre1"/>
    <w:next w:val="Normal"/>
    <w:uiPriority w:val="39"/>
    <w:semiHidden/>
    <w:unhideWhenUsed/>
    <w:qFormat/>
    <w:rsid w:val="007E6CF8"/>
    <w:pPr>
      <w:spacing w:line="276" w:lineRule="auto"/>
      <w:jc w:val="left"/>
      <w:outlineLvl w:val="9"/>
    </w:pPr>
    <w:rPr>
      <w:rFonts w:asciiTheme="majorHAnsi" w:hAnsiTheme="majorHAnsi"/>
      <w:i w:val="0"/>
      <w:color w:val="365F91" w:themeColor="accent1" w:themeShade="BF"/>
      <w:sz w:val="28"/>
    </w:rPr>
  </w:style>
  <w:style w:type="paragraph" w:customStyle="1" w:styleId="Titre10">
    <w:name w:val="Titre 10"/>
    <w:basedOn w:val="Normal"/>
    <w:link w:val="Titre10Car"/>
    <w:uiPriority w:val="10"/>
    <w:qFormat/>
    <w:rsid w:val="007E6CF8"/>
    <w:pPr>
      <w:ind w:firstLine="708"/>
    </w:pPr>
    <w:rPr>
      <w:b/>
    </w:rPr>
  </w:style>
  <w:style w:type="character" w:customStyle="1" w:styleId="Titre10Car">
    <w:name w:val="Titre 10 Car"/>
    <w:basedOn w:val="Policepardfaut"/>
    <w:link w:val="Titre10"/>
    <w:uiPriority w:val="10"/>
    <w:rsid w:val="007E6CF8"/>
    <w:rPr>
      <w:rFonts w:ascii="Times New Roman" w:hAnsi="Times New Roman"/>
      <w:b/>
      <w:sz w:val="24"/>
    </w:rPr>
  </w:style>
  <w:style w:type="paragraph" w:customStyle="1" w:styleId="Titre11">
    <w:name w:val="Titre 11"/>
    <w:basedOn w:val="Normal"/>
    <w:link w:val="Titre11Car"/>
    <w:uiPriority w:val="10"/>
    <w:qFormat/>
    <w:rsid w:val="007E6CF8"/>
    <w:rPr>
      <w:b/>
      <w:i/>
    </w:rPr>
  </w:style>
  <w:style w:type="character" w:customStyle="1" w:styleId="Titre11Car">
    <w:name w:val="Titre 11 Car"/>
    <w:basedOn w:val="Policepardfaut"/>
    <w:link w:val="Titre11"/>
    <w:uiPriority w:val="10"/>
    <w:rsid w:val="007E6CF8"/>
    <w:rPr>
      <w:rFonts w:ascii="Times New Roman" w:hAnsi="Times New Roman"/>
      <w:b/>
      <w:i/>
      <w:sz w:val="24"/>
    </w:rPr>
  </w:style>
  <w:style w:type="paragraph" w:styleId="En-tte">
    <w:name w:val="header"/>
    <w:basedOn w:val="Normal"/>
    <w:link w:val="En-tteCar"/>
    <w:uiPriority w:val="99"/>
    <w:unhideWhenUsed/>
    <w:rsid w:val="00384EE3"/>
    <w:pPr>
      <w:tabs>
        <w:tab w:val="center" w:pos="4536"/>
        <w:tab w:val="right" w:pos="9072"/>
      </w:tabs>
      <w:spacing w:after="0" w:line="240" w:lineRule="auto"/>
    </w:pPr>
  </w:style>
  <w:style w:type="character" w:customStyle="1" w:styleId="En-tteCar">
    <w:name w:val="En-tête Car"/>
    <w:basedOn w:val="Policepardfaut"/>
    <w:link w:val="En-tte"/>
    <w:uiPriority w:val="99"/>
    <w:rsid w:val="00384EE3"/>
    <w:rPr>
      <w:rFonts w:ascii="Times New Roman" w:hAnsi="Times New Roman"/>
      <w:sz w:val="24"/>
    </w:rPr>
  </w:style>
  <w:style w:type="paragraph" w:styleId="Pieddepage">
    <w:name w:val="footer"/>
    <w:basedOn w:val="Normal"/>
    <w:link w:val="PieddepageCar"/>
    <w:uiPriority w:val="99"/>
    <w:unhideWhenUsed/>
    <w:rsid w:val="00384E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4EE3"/>
    <w:rPr>
      <w:rFonts w:ascii="Times New Roman" w:hAnsi="Times New Roman"/>
      <w:sz w:val="24"/>
    </w:rPr>
  </w:style>
  <w:style w:type="character" w:styleId="Appelnotedebasdep">
    <w:name w:val="footnote reference"/>
    <w:aliases w:val="Appel note de bas de page"/>
    <w:basedOn w:val="Policepardfaut"/>
    <w:uiPriority w:val="99"/>
    <w:unhideWhenUsed/>
    <w:rsid w:val="00497189"/>
    <w:rPr>
      <w:vertAlign w:val="superscript"/>
    </w:rPr>
  </w:style>
  <w:style w:type="character" w:styleId="Accentuation">
    <w:name w:val="Emphasis"/>
    <w:basedOn w:val="Policepardfaut"/>
    <w:uiPriority w:val="20"/>
    <w:qFormat/>
    <w:rsid w:val="00497189"/>
    <w:rPr>
      <w:i/>
      <w:iCs/>
    </w:rPr>
  </w:style>
  <w:style w:type="character" w:styleId="Lienhypertexte">
    <w:name w:val="Hyperlink"/>
    <w:basedOn w:val="Policepardfaut"/>
    <w:uiPriority w:val="99"/>
    <w:unhideWhenUsed/>
    <w:rsid w:val="004D66E5"/>
    <w:rPr>
      <w:color w:val="0000FF" w:themeColor="hyperlink"/>
      <w:u w:val="single"/>
    </w:rPr>
  </w:style>
  <w:style w:type="paragraph" w:styleId="NormalWeb">
    <w:name w:val="Normal (Web)"/>
    <w:basedOn w:val="Normal"/>
    <w:uiPriority w:val="99"/>
    <w:unhideWhenUsed/>
    <w:rsid w:val="00F53C19"/>
    <w:pPr>
      <w:spacing w:before="100" w:beforeAutospacing="1" w:after="100" w:afterAutospacing="1" w:line="240" w:lineRule="auto"/>
      <w:jc w:val="left"/>
    </w:pPr>
    <w:rPr>
      <w:rFonts w:eastAsia="Times New Roman" w:cs="Times New Roman"/>
      <w:szCs w:val="24"/>
      <w:lang w:eastAsia="fr-FR"/>
    </w:rPr>
  </w:style>
  <w:style w:type="character" w:styleId="lev">
    <w:name w:val="Strong"/>
    <w:basedOn w:val="Policepardfaut"/>
    <w:uiPriority w:val="22"/>
    <w:qFormat/>
    <w:rsid w:val="00A83742"/>
    <w:rPr>
      <w:b/>
      <w:bCs/>
    </w:rPr>
  </w:style>
  <w:style w:type="character" w:styleId="Lienhypertextesuivivisit">
    <w:name w:val="FollowedHyperlink"/>
    <w:basedOn w:val="Policepardfaut"/>
    <w:uiPriority w:val="99"/>
    <w:semiHidden/>
    <w:unhideWhenUsed/>
    <w:rsid w:val="006B43B1"/>
    <w:rPr>
      <w:color w:val="800080" w:themeColor="followedHyperlink"/>
      <w:u w:val="single"/>
    </w:rPr>
  </w:style>
  <w:style w:type="paragraph" w:styleId="Explorateurdedocuments">
    <w:name w:val="Document Map"/>
    <w:basedOn w:val="Normal"/>
    <w:link w:val="ExplorateurdedocumentsCar"/>
    <w:uiPriority w:val="99"/>
    <w:semiHidden/>
    <w:unhideWhenUsed/>
    <w:rsid w:val="00F4518E"/>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F4518E"/>
    <w:rPr>
      <w:rFonts w:ascii="Tahoma" w:hAnsi="Tahoma" w:cs="Tahoma"/>
      <w:sz w:val="16"/>
      <w:szCs w:val="16"/>
    </w:rPr>
  </w:style>
  <w:style w:type="character" w:customStyle="1" w:styleId="documentfirstua">
    <w:name w:val="documentfirstua"/>
    <w:basedOn w:val="Policepardfaut"/>
    <w:rsid w:val="00947A4E"/>
  </w:style>
  <w:style w:type="character" w:customStyle="1" w:styleId="st">
    <w:name w:val="st"/>
    <w:basedOn w:val="Policepardfaut"/>
    <w:rsid w:val="00114CDA"/>
  </w:style>
  <w:style w:type="paragraph" w:customStyle="1" w:styleId="c01pointnumerotealtn">
    <w:name w:val="c01pointnumerotealtn"/>
    <w:basedOn w:val="Normal"/>
    <w:rsid w:val="0080235D"/>
    <w:pPr>
      <w:spacing w:before="100" w:beforeAutospacing="1" w:after="100" w:afterAutospacing="1" w:line="240" w:lineRule="auto"/>
      <w:jc w:val="left"/>
    </w:pPr>
    <w:rPr>
      <w:rFonts w:eastAsia="Times New Roman" w:cs="Times New Roman"/>
      <w:szCs w:val="24"/>
      <w:lang w:eastAsia="fr-FR"/>
    </w:rPr>
  </w:style>
  <w:style w:type="character" w:styleId="Marquedecommentaire">
    <w:name w:val="annotation reference"/>
    <w:basedOn w:val="Policepardfaut"/>
    <w:uiPriority w:val="99"/>
    <w:semiHidden/>
    <w:unhideWhenUsed/>
    <w:rsid w:val="00BE1A3D"/>
    <w:rPr>
      <w:sz w:val="16"/>
      <w:szCs w:val="16"/>
    </w:rPr>
  </w:style>
  <w:style w:type="paragraph" w:styleId="Commentaire">
    <w:name w:val="annotation text"/>
    <w:basedOn w:val="Normal"/>
    <w:link w:val="CommentaireCar"/>
    <w:uiPriority w:val="99"/>
    <w:semiHidden/>
    <w:unhideWhenUsed/>
    <w:rsid w:val="00BE1A3D"/>
    <w:pPr>
      <w:spacing w:line="240" w:lineRule="auto"/>
    </w:pPr>
    <w:rPr>
      <w:sz w:val="20"/>
      <w:szCs w:val="20"/>
    </w:rPr>
  </w:style>
  <w:style w:type="character" w:customStyle="1" w:styleId="CommentaireCar">
    <w:name w:val="Commentaire Car"/>
    <w:basedOn w:val="Policepardfaut"/>
    <w:link w:val="Commentaire"/>
    <w:uiPriority w:val="99"/>
    <w:semiHidden/>
    <w:rsid w:val="00BE1A3D"/>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BE1A3D"/>
    <w:rPr>
      <w:b/>
      <w:bCs/>
    </w:rPr>
  </w:style>
  <w:style w:type="character" w:customStyle="1" w:styleId="ObjetducommentaireCar">
    <w:name w:val="Objet du commentaire Car"/>
    <w:basedOn w:val="CommentaireCar"/>
    <w:link w:val="Objetducommentaire"/>
    <w:uiPriority w:val="99"/>
    <w:semiHidden/>
    <w:rsid w:val="00BE1A3D"/>
    <w:rPr>
      <w:rFonts w:ascii="Times New Roman" w:hAnsi="Times New Roman"/>
      <w:b/>
      <w:bCs/>
      <w:sz w:val="20"/>
      <w:szCs w:val="20"/>
    </w:rPr>
  </w:style>
  <w:style w:type="paragraph" w:styleId="Textedebulles">
    <w:name w:val="Balloon Text"/>
    <w:basedOn w:val="Normal"/>
    <w:link w:val="TextedebullesCar"/>
    <w:uiPriority w:val="99"/>
    <w:semiHidden/>
    <w:unhideWhenUsed/>
    <w:rsid w:val="00BE1A3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E1A3D"/>
    <w:rPr>
      <w:rFonts w:ascii="Segoe UI" w:hAnsi="Segoe UI" w:cs="Segoe UI"/>
      <w:sz w:val="18"/>
      <w:szCs w:val="18"/>
    </w:rPr>
  </w:style>
  <w:style w:type="character" w:customStyle="1" w:styleId="familyname">
    <w:name w:val="familyname"/>
    <w:basedOn w:val="Policepardfaut"/>
    <w:rsid w:val="00AA1DAA"/>
  </w:style>
  <w:style w:type="paragraph" w:customStyle="1" w:styleId="texte">
    <w:name w:val="texte"/>
    <w:basedOn w:val="Normal"/>
    <w:rsid w:val="00461E05"/>
    <w:pPr>
      <w:spacing w:before="100" w:beforeAutospacing="1" w:after="100" w:afterAutospacing="1" w:line="240" w:lineRule="auto"/>
      <w:jc w:val="left"/>
    </w:pPr>
    <w:rPr>
      <w:rFonts w:eastAsia="Times New Roman" w:cs="Times New Roman"/>
      <w:szCs w:val="24"/>
      <w:lang w:eastAsia="fr-FR"/>
    </w:rPr>
  </w:style>
  <w:style w:type="character" w:customStyle="1" w:styleId="paranumber">
    <w:name w:val="paranumber"/>
    <w:basedOn w:val="Policepardfaut"/>
    <w:rsid w:val="00461E05"/>
  </w:style>
  <w:style w:type="character" w:customStyle="1" w:styleId="y0nh2b">
    <w:name w:val="y0nh2b"/>
    <w:basedOn w:val="Policepardfaut"/>
    <w:rsid w:val="004042BD"/>
  </w:style>
  <w:style w:type="paragraph" w:customStyle="1" w:styleId="c01pointaltn">
    <w:name w:val="c01pointaltn"/>
    <w:basedOn w:val="Normal"/>
    <w:rsid w:val="00353680"/>
    <w:pPr>
      <w:spacing w:before="100" w:beforeAutospacing="1" w:after="100" w:afterAutospacing="1" w:line="240" w:lineRule="auto"/>
      <w:jc w:val="left"/>
    </w:pPr>
    <w:rPr>
      <w:rFonts w:eastAsia="Times New Roman" w:cs="Times New Roman"/>
      <w:szCs w:val="24"/>
      <w:lang w:eastAsia="fr-FR"/>
    </w:rPr>
  </w:style>
  <w:style w:type="paragraph" w:customStyle="1" w:styleId="cfootnotetext">
    <w:name w:val="cfootnotetext"/>
    <w:basedOn w:val="Normal"/>
    <w:rsid w:val="003B1A7D"/>
    <w:pPr>
      <w:spacing w:before="100" w:beforeAutospacing="1" w:after="100" w:afterAutospacing="1" w:line="240" w:lineRule="auto"/>
      <w:jc w:val="left"/>
    </w:pPr>
    <w:rPr>
      <w:rFonts w:eastAsia="Times New Roman" w:cs="Times New Roman"/>
      <w:szCs w:val="24"/>
      <w:lang w:eastAsia="fr-FR"/>
    </w:rPr>
  </w:style>
  <w:style w:type="character" w:customStyle="1" w:styleId="italic">
    <w:name w:val="italic"/>
    <w:basedOn w:val="Policepardfaut"/>
    <w:rsid w:val="00B15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6837">
      <w:bodyDiv w:val="1"/>
      <w:marLeft w:val="0"/>
      <w:marRight w:val="0"/>
      <w:marTop w:val="0"/>
      <w:marBottom w:val="0"/>
      <w:divBdr>
        <w:top w:val="none" w:sz="0" w:space="0" w:color="auto"/>
        <w:left w:val="none" w:sz="0" w:space="0" w:color="auto"/>
        <w:bottom w:val="none" w:sz="0" w:space="0" w:color="auto"/>
        <w:right w:val="none" w:sz="0" w:space="0" w:color="auto"/>
      </w:divBdr>
      <w:divsChild>
        <w:div w:id="1910773475">
          <w:marLeft w:val="0"/>
          <w:marRight w:val="0"/>
          <w:marTop w:val="0"/>
          <w:marBottom w:val="0"/>
          <w:divBdr>
            <w:top w:val="none" w:sz="0" w:space="0" w:color="auto"/>
            <w:left w:val="none" w:sz="0" w:space="0" w:color="auto"/>
            <w:bottom w:val="none" w:sz="0" w:space="0" w:color="auto"/>
            <w:right w:val="none" w:sz="0" w:space="0" w:color="auto"/>
          </w:divBdr>
        </w:div>
        <w:div w:id="557790151">
          <w:marLeft w:val="0"/>
          <w:marRight w:val="0"/>
          <w:marTop w:val="0"/>
          <w:marBottom w:val="0"/>
          <w:divBdr>
            <w:top w:val="none" w:sz="0" w:space="0" w:color="auto"/>
            <w:left w:val="none" w:sz="0" w:space="0" w:color="auto"/>
            <w:bottom w:val="none" w:sz="0" w:space="0" w:color="auto"/>
            <w:right w:val="none" w:sz="0" w:space="0" w:color="auto"/>
          </w:divBdr>
        </w:div>
        <w:div w:id="2022588410">
          <w:marLeft w:val="0"/>
          <w:marRight w:val="0"/>
          <w:marTop w:val="0"/>
          <w:marBottom w:val="0"/>
          <w:divBdr>
            <w:top w:val="none" w:sz="0" w:space="0" w:color="auto"/>
            <w:left w:val="none" w:sz="0" w:space="0" w:color="auto"/>
            <w:bottom w:val="none" w:sz="0" w:space="0" w:color="auto"/>
            <w:right w:val="none" w:sz="0" w:space="0" w:color="auto"/>
          </w:divBdr>
        </w:div>
        <w:div w:id="51513674">
          <w:marLeft w:val="0"/>
          <w:marRight w:val="0"/>
          <w:marTop w:val="0"/>
          <w:marBottom w:val="0"/>
          <w:divBdr>
            <w:top w:val="none" w:sz="0" w:space="0" w:color="auto"/>
            <w:left w:val="none" w:sz="0" w:space="0" w:color="auto"/>
            <w:bottom w:val="none" w:sz="0" w:space="0" w:color="auto"/>
            <w:right w:val="none" w:sz="0" w:space="0" w:color="auto"/>
          </w:divBdr>
        </w:div>
        <w:div w:id="1975213581">
          <w:marLeft w:val="0"/>
          <w:marRight w:val="0"/>
          <w:marTop w:val="0"/>
          <w:marBottom w:val="0"/>
          <w:divBdr>
            <w:top w:val="none" w:sz="0" w:space="0" w:color="auto"/>
            <w:left w:val="none" w:sz="0" w:space="0" w:color="auto"/>
            <w:bottom w:val="none" w:sz="0" w:space="0" w:color="auto"/>
            <w:right w:val="none" w:sz="0" w:space="0" w:color="auto"/>
          </w:divBdr>
        </w:div>
        <w:div w:id="1098213176">
          <w:marLeft w:val="0"/>
          <w:marRight w:val="0"/>
          <w:marTop w:val="0"/>
          <w:marBottom w:val="0"/>
          <w:divBdr>
            <w:top w:val="none" w:sz="0" w:space="0" w:color="auto"/>
            <w:left w:val="none" w:sz="0" w:space="0" w:color="auto"/>
            <w:bottom w:val="none" w:sz="0" w:space="0" w:color="auto"/>
            <w:right w:val="none" w:sz="0" w:space="0" w:color="auto"/>
          </w:divBdr>
        </w:div>
        <w:div w:id="95558875">
          <w:marLeft w:val="0"/>
          <w:marRight w:val="0"/>
          <w:marTop w:val="0"/>
          <w:marBottom w:val="0"/>
          <w:divBdr>
            <w:top w:val="none" w:sz="0" w:space="0" w:color="auto"/>
            <w:left w:val="none" w:sz="0" w:space="0" w:color="auto"/>
            <w:bottom w:val="none" w:sz="0" w:space="0" w:color="auto"/>
            <w:right w:val="none" w:sz="0" w:space="0" w:color="auto"/>
          </w:divBdr>
        </w:div>
        <w:div w:id="538518572">
          <w:marLeft w:val="0"/>
          <w:marRight w:val="0"/>
          <w:marTop w:val="0"/>
          <w:marBottom w:val="0"/>
          <w:divBdr>
            <w:top w:val="none" w:sz="0" w:space="0" w:color="auto"/>
            <w:left w:val="none" w:sz="0" w:space="0" w:color="auto"/>
            <w:bottom w:val="none" w:sz="0" w:space="0" w:color="auto"/>
            <w:right w:val="none" w:sz="0" w:space="0" w:color="auto"/>
          </w:divBdr>
        </w:div>
        <w:div w:id="862590507">
          <w:marLeft w:val="0"/>
          <w:marRight w:val="0"/>
          <w:marTop w:val="0"/>
          <w:marBottom w:val="0"/>
          <w:divBdr>
            <w:top w:val="none" w:sz="0" w:space="0" w:color="auto"/>
            <w:left w:val="none" w:sz="0" w:space="0" w:color="auto"/>
            <w:bottom w:val="none" w:sz="0" w:space="0" w:color="auto"/>
            <w:right w:val="none" w:sz="0" w:space="0" w:color="auto"/>
          </w:divBdr>
        </w:div>
      </w:divsChild>
    </w:div>
    <w:div w:id="20085993">
      <w:bodyDiv w:val="1"/>
      <w:marLeft w:val="0"/>
      <w:marRight w:val="0"/>
      <w:marTop w:val="0"/>
      <w:marBottom w:val="0"/>
      <w:divBdr>
        <w:top w:val="none" w:sz="0" w:space="0" w:color="auto"/>
        <w:left w:val="none" w:sz="0" w:space="0" w:color="auto"/>
        <w:bottom w:val="none" w:sz="0" w:space="0" w:color="auto"/>
        <w:right w:val="none" w:sz="0" w:space="0" w:color="auto"/>
      </w:divBdr>
      <w:divsChild>
        <w:div w:id="120274871">
          <w:marLeft w:val="0"/>
          <w:marRight w:val="0"/>
          <w:marTop w:val="0"/>
          <w:marBottom w:val="0"/>
          <w:divBdr>
            <w:top w:val="none" w:sz="0" w:space="0" w:color="auto"/>
            <w:left w:val="none" w:sz="0" w:space="0" w:color="auto"/>
            <w:bottom w:val="none" w:sz="0" w:space="0" w:color="auto"/>
            <w:right w:val="none" w:sz="0" w:space="0" w:color="auto"/>
          </w:divBdr>
        </w:div>
        <w:div w:id="1740595528">
          <w:marLeft w:val="0"/>
          <w:marRight w:val="0"/>
          <w:marTop w:val="0"/>
          <w:marBottom w:val="0"/>
          <w:divBdr>
            <w:top w:val="none" w:sz="0" w:space="0" w:color="auto"/>
            <w:left w:val="none" w:sz="0" w:space="0" w:color="auto"/>
            <w:bottom w:val="none" w:sz="0" w:space="0" w:color="auto"/>
            <w:right w:val="none" w:sz="0" w:space="0" w:color="auto"/>
          </w:divBdr>
        </w:div>
        <w:div w:id="689796972">
          <w:marLeft w:val="0"/>
          <w:marRight w:val="0"/>
          <w:marTop w:val="0"/>
          <w:marBottom w:val="0"/>
          <w:divBdr>
            <w:top w:val="none" w:sz="0" w:space="0" w:color="auto"/>
            <w:left w:val="none" w:sz="0" w:space="0" w:color="auto"/>
            <w:bottom w:val="none" w:sz="0" w:space="0" w:color="auto"/>
            <w:right w:val="none" w:sz="0" w:space="0" w:color="auto"/>
          </w:divBdr>
        </w:div>
        <w:div w:id="114914714">
          <w:marLeft w:val="0"/>
          <w:marRight w:val="0"/>
          <w:marTop w:val="0"/>
          <w:marBottom w:val="0"/>
          <w:divBdr>
            <w:top w:val="none" w:sz="0" w:space="0" w:color="auto"/>
            <w:left w:val="none" w:sz="0" w:space="0" w:color="auto"/>
            <w:bottom w:val="none" w:sz="0" w:space="0" w:color="auto"/>
            <w:right w:val="none" w:sz="0" w:space="0" w:color="auto"/>
          </w:divBdr>
        </w:div>
        <w:div w:id="1161309361">
          <w:marLeft w:val="0"/>
          <w:marRight w:val="0"/>
          <w:marTop w:val="0"/>
          <w:marBottom w:val="0"/>
          <w:divBdr>
            <w:top w:val="none" w:sz="0" w:space="0" w:color="auto"/>
            <w:left w:val="none" w:sz="0" w:space="0" w:color="auto"/>
            <w:bottom w:val="none" w:sz="0" w:space="0" w:color="auto"/>
            <w:right w:val="none" w:sz="0" w:space="0" w:color="auto"/>
          </w:divBdr>
        </w:div>
        <w:div w:id="256137003">
          <w:marLeft w:val="0"/>
          <w:marRight w:val="0"/>
          <w:marTop w:val="0"/>
          <w:marBottom w:val="0"/>
          <w:divBdr>
            <w:top w:val="none" w:sz="0" w:space="0" w:color="auto"/>
            <w:left w:val="none" w:sz="0" w:space="0" w:color="auto"/>
            <w:bottom w:val="none" w:sz="0" w:space="0" w:color="auto"/>
            <w:right w:val="none" w:sz="0" w:space="0" w:color="auto"/>
          </w:divBdr>
        </w:div>
        <w:div w:id="1037857136">
          <w:marLeft w:val="0"/>
          <w:marRight w:val="0"/>
          <w:marTop w:val="0"/>
          <w:marBottom w:val="0"/>
          <w:divBdr>
            <w:top w:val="none" w:sz="0" w:space="0" w:color="auto"/>
            <w:left w:val="none" w:sz="0" w:space="0" w:color="auto"/>
            <w:bottom w:val="none" w:sz="0" w:space="0" w:color="auto"/>
            <w:right w:val="none" w:sz="0" w:space="0" w:color="auto"/>
          </w:divBdr>
        </w:div>
      </w:divsChild>
    </w:div>
    <w:div w:id="108016661">
      <w:bodyDiv w:val="1"/>
      <w:marLeft w:val="0"/>
      <w:marRight w:val="0"/>
      <w:marTop w:val="0"/>
      <w:marBottom w:val="0"/>
      <w:divBdr>
        <w:top w:val="none" w:sz="0" w:space="0" w:color="auto"/>
        <w:left w:val="none" w:sz="0" w:space="0" w:color="auto"/>
        <w:bottom w:val="none" w:sz="0" w:space="0" w:color="auto"/>
        <w:right w:val="none" w:sz="0" w:space="0" w:color="auto"/>
      </w:divBdr>
      <w:divsChild>
        <w:div w:id="727264096">
          <w:marLeft w:val="0"/>
          <w:marRight w:val="0"/>
          <w:marTop w:val="0"/>
          <w:marBottom w:val="0"/>
          <w:divBdr>
            <w:top w:val="none" w:sz="0" w:space="0" w:color="auto"/>
            <w:left w:val="none" w:sz="0" w:space="0" w:color="auto"/>
            <w:bottom w:val="none" w:sz="0" w:space="0" w:color="auto"/>
            <w:right w:val="none" w:sz="0" w:space="0" w:color="auto"/>
          </w:divBdr>
        </w:div>
        <w:div w:id="506598511">
          <w:marLeft w:val="0"/>
          <w:marRight w:val="0"/>
          <w:marTop w:val="0"/>
          <w:marBottom w:val="0"/>
          <w:divBdr>
            <w:top w:val="none" w:sz="0" w:space="0" w:color="auto"/>
            <w:left w:val="none" w:sz="0" w:space="0" w:color="auto"/>
            <w:bottom w:val="none" w:sz="0" w:space="0" w:color="auto"/>
            <w:right w:val="none" w:sz="0" w:space="0" w:color="auto"/>
          </w:divBdr>
        </w:div>
        <w:div w:id="1822845376">
          <w:marLeft w:val="0"/>
          <w:marRight w:val="0"/>
          <w:marTop w:val="0"/>
          <w:marBottom w:val="0"/>
          <w:divBdr>
            <w:top w:val="none" w:sz="0" w:space="0" w:color="auto"/>
            <w:left w:val="none" w:sz="0" w:space="0" w:color="auto"/>
            <w:bottom w:val="none" w:sz="0" w:space="0" w:color="auto"/>
            <w:right w:val="none" w:sz="0" w:space="0" w:color="auto"/>
          </w:divBdr>
        </w:div>
        <w:div w:id="82341546">
          <w:marLeft w:val="0"/>
          <w:marRight w:val="0"/>
          <w:marTop w:val="0"/>
          <w:marBottom w:val="0"/>
          <w:divBdr>
            <w:top w:val="none" w:sz="0" w:space="0" w:color="auto"/>
            <w:left w:val="none" w:sz="0" w:space="0" w:color="auto"/>
            <w:bottom w:val="none" w:sz="0" w:space="0" w:color="auto"/>
            <w:right w:val="none" w:sz="0" w:space="0" w:color="auto"/>
          </w:divBdr>
        </w:div>
      </w:divsChild>
    </w:div>
    <w:div w:id="220554568">
      <w:bodyDiv w:val="1"/>
      <w:marLeft w:val="0"/>
      <w:marRight w:val="0"/>
      <w:marTop w:val="0"/>
      <w:marBottom w:val="0"/>
      <w:divBdr>
        <w:top w:val="none" w:sz="0" w:space="0" w:color="auto"/>
        <w:left w:val="none" w:sz="0" w:space="0" w:color="auto"/>
        <w:bottom w:val="none" w:sz="0" w:space="0" w:color="auto"/>
        <w:right w:val="none" w:sz="0" w:space="0" w:color="auto"/>
      </w:divBdr>
      <w:divsChild>
        <w:div w:id="1876041632">
          <w:marLeft w:val="0"/>
          <w:marRight w:val="0"/>
          <w:marTop w:val="0"/>
          <w:marBottom w:val="0"/>
          <w:divBdr>
            <w:top w:val="none" w:sz="0" w:space="0" w:color="auto"/>
            <w:left w:val="none" w:sz="0" w:space="0" w:color="auto"/>
            <w:bottom w:val="none" w:sz="0" w:space="0" w:color="auto"/>
            <w:right w:val="none" w:sz="0" w:space="0" w:color="auto"/>
          </w:divBdr>
        </w:div>
        <w:div w:id="1315842465">
          <w:marLeft w:val="0"/>
          <w:marRight w:val="0"/>
          <w:marTop w:val="0"/>
          <w:marBottom w:val="0"/>
          <w:divBdr>
            <w:top w:val="none" w:sz="0" w:space="0" w:color="auto"/>
            <w:left w:val="none" w:sz="0" w:space="0" w:color="auto"/>
            <w:bottom w:val="none" w:sz="0" w:space="0" w:color="auto"/>
            <w:right w:val="none" w:sz="0" w:space="0" w:color="auto"/>
          </w:divBdr>
        </w:div>
        <w:div w:id="541987293">
          <w:marLeft w:val="0"/>
          <w:marRight w:val="0"/>
          <w:marTop w:val="0"/>
          <w:marBottom w:val="0"/>
          <w:divBdr>
            <w:top w:val="none" w:sz="0" w:space="0" w:color="auto"/>
            <w:left w:val="none" w:sz="0" w:space="0" w:color="auto"/>
            <w:bottom w:val="none" w:sz="0" w:space="0" w:color="auto"/>
            <w:right w:val="none" w:sz="0" w:space="0" w:color="auto"/>
          </w:divBdr>
        </w:div>
        <w:div w:id="1679261572">
          <w:marLeft w:val="0"/>
          <w:marRight w:val="0"/>
          <w:marTop w:val="0"/>
          <w:marBottom w:val="0"/>
          <w:divBdr>
            <w:top w:val="none" w:sz="0" w:space="0" w:color="auto"/>
            <w:left w:val="none" w:sz="0" w:space="0" w:color="auto"/>
            <w:bottom w:val="none" w:sz="0" w:space="0" w:color="auto"/>
            <w:right w:val="none" w:sz="0" w:space="0" w:color="auto"/>
          </w:divBdr>
        </w:div>
        <w:div w:id="715588859">
          <w:marLeft w:val="0"/>
          <w:marRight w:val="0"/>
          <w:marTop w:val="0"/>
          <w:marBottom w:val="0"/>
          <w:divBdr>
            <w:top w:val="none" w:sz="0" w:space="0" w:color="auto"/>
            <w:left w:val="none" w:sz="0" w:space="0" w:color="auto"/>
            <w:bottom w:val="none" w:sz="0" w:space="0" w:color="auto"/>
            <w:right w:val="none" w:sz="0" w:space="0" w:color="auto"/>
          </w:divBdr>
        </w:div>
        <w:div w:id="631862494">
          <w:marLeft w:val="0"/>
          <w:marRight w:val="0"/>
          <w:marTop w:val="0"/>
          <w:marBottom w:val="0"/>
          <w:divBdr>
            <w:top w:val="none" w:sz="0" w:space="0" w:color="auto"/>
            <w:left w:val="none" w:sz="0" w:space="0" w:color="auto"/>
            <w:bottom w:val="none" w:sz="0" w:space="0" w:color="auto"/>
            <w:right w:val="none" w:sz="0" w:space="0" w:color="auto"/>
          </w:divBdr>
        </w:div>
        <w:div w:id="463736327">
          <w:marLeft w:val="0"/>
          <w:marRight w:val="0"/>
          <w:marTop w:val="0"/>
          <w:marBottom w:val="0"/>
          <w:divBdr>
            <w:top w:val="none" w:sz="0" w:space="0" w:color="auto"/>
            <w:left w:val="none" w:sz="0" w:space="0" w:color="auto"/>
            <w:bottom w:val="none" w:sz="0" w:space="0" w:color="auto"/>
            <w:right w:val="none" w:sz="0" w:space="0" w:color="auto"/>
          </w:divBdr>
        </w:div>
        <w:div w:id="470170721">
          <w:marLeft w:val="0"/>
          <w:marRight w:val="0"/>
          <w:marTop w:val="0"/>
          <w:marBottom w:val="0"/>
          <w:divBdr>
            <w:top w:val="none" w:sz="0" w:space="0" w:color="auto"/>
            <w:left w:val="none" w:sz="0" w:space="0" w:color="auto"/>
            <w:bottom w:val="none" w:sz="0" w:space="0" w:color="auto"/>
            <w:right w:val="none" w:sz="0" w:space="0" w:color="auto"/>
          </w:divBdr>
        </w:div>
        <w:div w:id="1729454112">
          <w:marLeft w:val="0"/>
          <w:marRight w:val="0"/>
          <w:marTop w:val="0"/>
          <w:marBottom w:val="0"/>
          <w:divBdr>
            <w:top w:val="none" w:sz="0" w:space="0" w:color="auto"/>
            <w:left w:val="none" w:sz="0" w:space="0" w:color="auto"/>
            <w:bottom w:val="none" w:sz="0" w:space="0" w:color="auto"/>
            <w:right w:val="none" w:sz="0" w:space="0" w:color="auto"/>
          </w:divBdr>
        </w:div>
        <w:div w:id="1056514384">
          <w:marLeft w:val="0"/>
          <w:marRight w:val="0"/>
          <w:marTop w:val="0"/>
          <w:marBottom w:val="0"/>
          <w:divBdr>
            <w:top w:val="none" w:sz="0" w:space="0" w:color="auto"/>
            <w:left w:val="none" w:sz="0" w:space="0" w:color="auto"/>
            <w:bottom w:val="none" w:sz="0" w:space="0" w:color="auto"/>
            <w:right w:val="none" w:sz="0" w:space="0" w:color="auto"/>
          </w:divBdr>
        </w:div>
        <w:div w:id="515000475">
          <w:marLeft w:val="0"/>
          <w:marRight w:val="0"/>
          <w:marTop w:val="0"/>
          <w:marBottom w:val="0"/>
          <w:divBdr>
            <w:top w:val="none" w:sz="0" w:space="0" w:color="auto"/>
            <w:left w:val="none" w:sz="0" w:space="0" w:color="auto"/>
            <w:bottom w:val="none" w:sz="0" w:space="0" w:color="auto"/>
            <w:right w:val="none" w:sz="0" w:space="0" w:color="auto"/>
          </w:divBdr>
        </w:div>
      </w:divsChild>
    </w:div>
    <w:div w:id="339704650">
      <w:bodyDiv w:val="1"/>
      <w:marLeft w:val="0"/>
      <w:marRight w:val="0"/>
      <w:marTop w:val="0"/>
      <w:marBottom w:val="0"/>
      <w:divBdr>
        <w:top w:val="none" w:sz="0" w:space="0" w:color="auto"/>
        <w:left w:val="none" w:sz="0" w:space="0" w:color="auto"/>
        <w:bottom w:val="none" w:sz="0" w:space="0" w:color="auto"/>
        <w:right w:val="none" w:sz="0" w:space="0" w:color="auto"/>
      </w:divBdr>
      <w:divsChild>
        <w:div w:id="1842576519">
          <w:marLeft w:val="0"/>
          <w:marRight w:val="0"/>
          <w:marTop w:val="0"/>
          <w:marBottom w:val="0"/>
          <w:divBdr>
            <w:top w:val="none" w:sz="0" w:space="0" w:color="auto"/>
            <w:left w:val="none" w:sz="0" w:space="0" w:color="auto"/>
            <w:bottom w:val="none" w:sz="0" w:space="0" w:color="auto"/>
            <w:right w:val="none" w:sz="0" w:space="0" w:color="auto"/>
          </w:divBdr>
        </w:div>
        <w:div w:id="1905407627">
          <w:marLeft w:val="0"/>
          <w:marRight w:val="0"/>
          <w:marTop w:val="0"/>
          <w:marBottom w:val="0"/>
          <w:divBdr>
            <w:top w:val="none" w:sz="0" w:space="0" w:color="auto"/>
            <w:left w:val="none" w:sz="0" w:space="0" w:color="auto"/>
            <w:bottom w:val="none" w:sz="0" w:space="0" w:color="auto"/>
            <w:right w:val="none" w:sz="0" w:space="0" w:color="auto"/>
          </w:divBdr>
        </w:div>
      </w:divsChild>
    </w:div>
    <w:div w:id="340086619">
      <w:bodyDiv w:val="1"/>
      <w:marLeft w:val="0"/>
      <w:marRight w:val="0"/>
      <w:marTop w:val="0"/>
      <w:marBottom w:val="0"/>
      <w:divBdr>
        <w:top w:val="none" w:sz="0" w:space="0" w:color="auto"/>
        <w:left w:val="none" w:sz="0" w:space="0" w:color="auto"/>
        <w:bottom w:val="none" w:sz="0" w:space="0" w:color="auto"/>
        <w:right w:val="none" w:sz="0" w:space="0" w:color="auto"/>
      </w:divBdr>
    </w:div>
    <w:div w:id="357511410">
      <w:bodyDiv w:val="1"/>
      <w:marLeft w:val="0"/>
      <w:marRight w:val="0"/>
      <w:marTop w:val="0"/>
      <w:marBottom w:val="0"/>
      <w:divBdr>
        <w:top w:val="none" w:sz="0" w:space="0" w:color="auto"/>
        <w:left w:val="none" w:sz="0" w:space="0" w:color="auto"/>
        <w:bottom w:val="none" w:sz="0" w:space="0" w:color="auto"/>
        <w:right w:val="none" w:sz="0" w:space="0" w:color="auto"/>
      </w:divBdr>
    </w:div>
    <w:div w:id="377245669">
      <w:bodyDiv w:val="1"/>
      <w:marLeft w:val="0"/>
      <w:marRight w:val="0"/>
      <w:marTop w:val="0"/>
      <w:marBottom w:val="0"/>
      <w:divBdr>
        <w:top w:val="none" w:sz="0" w:space="0" w:color="auto"/>
        <w:left w:val="none" w:sz="0" w:space="0" w:color="auto"/>
        <w:bottom w:val="none" w:sz="0" w:space="0" w:color="auto"/>
        <w:right w:val="none" w:sz="0" w:space="0" w:color="auto"/>
      </w:divBdr>
    </w:div>
    <w:div w:id="398136668">
      <w:bodyDiv w:val="1"/>
      <w:marLeft w:val="0"/>
      <w:marRight w:val="0"/>
      <w:marTop w:val="0"/>
      <w:marBottom w:val="0"/>
      <w:divBdr>
        <w:top w:val="none" w:sz="0" w:space="0" w:color="auto"/>
        <w:left w:val="none" w:sz="0" w:space="0" w:color="auto"/>
        <w:bottom w:val="none" w:sz="0" w:space="0" w:color="auto"/>
        <w:right w:val="none" w:sz="0" w:space="0" w:color="auto"/>
      </w:divBdr>
    </w:div>
    <w:div w:id="406461982">
      <w:bodyDiv w:val="1"/>
      <w:marLeft w:val="0"/>
      <w:marRight w:val="0"/>
      <w:marTop w:val="0"/>
      <w:marBottom w:val="0"/>
      <w:divBdr>
        <w:top w:val="none" w:sz="0" w:space="0" w:color="auto"/>
        <w:left w:val="none" w:sz="0" w:space="0" w:color="auto"/>
        <w:bottom w:val="none" w:sz="0" w:space="0" w:color="auto"/>
        <w:right w:val="none" w:sz="0" w:space="0" w:color="auto"/>
      </w:divBdr>
      <w:divsChild>
        <w:div w:id="1769349827">
          <w:marLeft w:val="0"/>
          <w:marRight w:val="0"/>
          <w:marTop w:val="0"/>
          <w:marBottom w:val="0"/>
          <w:divBdr>
            <w:top w:val="none" w:sz="0" w:space="0" w:color="auto"/>
            <w:left w:val="none" w:sz="0" w:space="0" w:color="auto"/>
            <w:bottom w:val="none" w:sz="0" w:space="0" w:color="auto"/>
            <w:right w:val="none" w:sz="0" w:space="0" w:color="auto"/>
          </w:divBdr>
        </w:div>
      </w:divsChild>
    </w:div>
    <w:div w:id="467016816">
      <w:bodyDiv w:val="1"/>
      <w:marLeft w:val="0"/>
      <w:marRight w:val="0"/>
      <w:marTop w:val="0"/>
      <w:marBottom w:val="0"/>
      <w:divBdr>
        <w:top w:val="none" w:sz="0" w:space="0" w:color="auto"/>
        <w:left w:val="none" w:sz="0" w:space="0" w:color="auto"/>
        <w:bottom w:val="none" w:sz="0" w:space="0" w:color="auto"/>
        <w:right w:val="none" w:sz="0" w:space="0" w:color="auto"/>
      </w:divBdr>
      <w:divsChild>
        <w:div w:id="909312686">
          <w:marLeft w:val="0"/>
          <w:marRight w:val="0"/>
          <w:marTop w:val="0"/>
          <w:marBottom w:val="0"/>
          <w:divBdr>
            <w:top w:val="none" w:sz="0" w:space="0" w:color="auto"/>
            <w:left w:val="none" w:sz="0" w:space="0" w:color="auto"/>
            <w:bottom w:val="none" w:sz="0" w:space="0" w:color="auto"/>
            <w:right w:val="none" w:sz="0" w:space="0" w:color="auto"/>
          </w:divBdr>
        </w:div>
        <w:div w:id="1745489311">
          <w:marLeft w:val="0"/>
          <w:marRight w:val="0"/>
          <w:marTop w:val="0"/>
          <w:marBottom w:val="0"/>
          <w:divBdr>
            <w:top w:val="none" w:sz="0" w:space="0" w:color="auto"/>
            <w:left w:val="none" w:sz="0" w:space="0" w:color="auto"/>
            <w:bottom w:val="none" w:sz="0" w:space="0" w:color="auto"/>
            <w:right w:val="none" w:sz="0" w:space="0" w:color="auto"/>
          </w:divBdr>
        </w:div>
      </w:divsChild>
    </w:div>
    <w:div w:id="480076560">
      <w:bodyDiv w:val="1"/>
      <w:marLeft w:val="0"/>
      <w:marRight w:val="0"/>
      <w:marTop w:val="0"/>
      <w:marBottom w:val="0"/>
      <w:divBdr>
        <w:top w:val="none" w:sz="0" w:space="0" w:color="auto"/>
        <w:left w:val="none" w:sz="0" w:space="0" w:color="auto"/>
        <w:bottom w:val="none" w:sz="0" w:space="0" w:color="auto"/>
        <w:right w:val="none" w:sz="0" w:space="0" w:color="auto"/>
      </w:divBdr>
      <w:divsChild>
        <w:div w:id="1529754485">
          <w:marLeft w:val="0"/>
          <w:marRight w:val="0"/>
          <w:marTop w:val="0"/>
          <w:marBottom w:val="0"/>
          <w:divBdr>
            <w:top w:val="none" w:sz="0" w:space="0" w:color="auto"/>
            <w:left w:val="none" w:sz="0" w:space="0" w:color="auto"/>
            <w:bottom w:val="none" w:sz="0" w:space="0" w:color="auto"/>
            <w:right w:val="none" w:sz="0" w:space="0" w:color="auto"/>
          </w:divBdr>
        </w:div>
        <w:div w:id="393697429">
          <w:marLeft w:val="0"/>
          <w:marRight w:val="0"/>
          <w:marTop w:val="0"/>
          <w:marBottom w:val="0"/>
          <w:divBdr>
            <w:top w:val="none" w:sz="0" w:space="0" w:color="auto"/>
            <w:left w:val="none" w:sz="0" w:space="0" w:color="auto"/>
            <w:bottom w:val="none" w:sz="0" w:space="0" w:color="auto"/>
            <w:right w:val="none" w:sz="0" w:space="0" w:color="auto"/>
          </w:divBdr>
        </w:div>
        <w:div w:id="1701126340">
          <w:marLeft w:val="0"/>
          <w:marRight w:val="0"/>
          <w:marTop w:val="0"/>
          <w:marBottom w:val="0"/>
          <w:divBdr>
            <w:top w:val="none" w:sz="0" w:space="0" w:color="auto"/>
            <w:left w:val="none" w:sz="0" w:space="0" w:color="auto"/>
            <w:bottom w:val="none" w:sz="0" w:space="0" w:color="auto"/>
            <w:right w:val="none" w:sz="0" w:space="0" w:color="auto"/>
          </w:divBdr>
        </w:div>
        <w:div w:id="371006193">
          <w:marLeft w:val="0"/>
          <w:marRight w:val="0"/>
          <w:marTop w:val="0"/>
          <w:marBottom w:val="0"/>
          <w:divBdr>
            <w:top w:val="none" w:sz="0" w:space="0" w:color="auto"/>
            <w:left w:val="none" w:sz="0" w:space="0" w:color="auto"/>
            <w:bottom w:val="none" w:sz="0" w:space="0" w:color="auto"/>
            <w:right w:val="none" w:sz="0" w:space="0" w:color="auto"/>
          </w:divBdr>
        </w:div>
        <w:div w:id="590702606">
          <w:marLeft w:val="0"/>
          <w:marRight w:val="0"/>
          <w:marTop w:val="0"/>
          <w:marBottom w:val="0"/>
          <w:divBdr>
            <w:top w:val="none" w:sz="0" w:space="0" w:color="auto"/>
            <w:left w:val="none" w:sz="0" w:space="0" w:color="auto"/>
            <w:bottom w:val="none" w:sz="0" w:space="0" w:color="auto"/>
            <w:right w:val="none" w:sz="0" w:space="0" w:color="auto"/>
          </w:divBdr>
        </w:div>
        <w:div w:id="268896270">
          <w:marLeft w:val="0"/>
          <w:marRight w:val="0"/>
          <w:marTop w:val="0"/>
          <w:marBottom w:val="0"/>
          <w:divBdr>
            <w:top w:val="none" w:sz="0" w:space="0" w:color="auto"/>
            <w:left w:val="none" w:sz="0" w:space="0" w:color="auto"/>
            <w:bottom w:val="none" w:sz="0" w:space="0" w:color="auto"/>
            <w:right w:val="none" w:sz="0" w:space="0" w:color="auto"/>
          </w:divBdr>
        </w:div>
        <w:div w:id="2042973400">
          <w:marLeft w:val="0"/>
          <w:marRight w:val="0"/>
          <w:marTop w:val="0"/>
          <w:marBottom w:val="0"/>
          <w:divBdr>
            <w:top w:val="none" w:sz="0" w:space="0" w:color="auto"/>
            <w:left w:val="none" w:sz="0" w:space="0" w:color="auto"/>
            <w:bottom w:val="none" w:sz="0" w:space="0" w:color="auto"/>
            <w:right w:val="none" w:sz="0" w:space="0" w:color="auto"/>
          </w:divBdr>
        </w:div>
      </w:divsChild>
    </w:div>
    <w:div w:id="515778199">
      <w:bodyDiv w:val="1"/>
      <w:marLeft w:val="0"/>
      <w:marRight w:val="0"/>
      <w:marTop w:val="0"/>
      <w:marBottom w:val="0"/>
      <w:divBdr>
        <w:top w:val="none" w:sz="0" w:space="0" w:color="auto"/>
        <w:left w:val="none" w:sz="0" w:space="0" w:color="auto"/>
        <w:bottom w:val="none" w:sz="0" w:space="0" w:color="auto"/>
        <w:right w:val="none" w:sz="0" w:space="0" w:color="auto"/>
      </w:divBdr>
      <w:divsChild>
        <w:div w:id="444496003">
          <w:marLeft w:val="0"/>
          <w:marRight w:val="0"/>
          <w:marTop w:val="0"/>
          <w:marBottom w:val="0"/>
          <w:divBdr>
            <w:top w:val="none" w:sz="0" w:space="0" w:color="auto"/>
            <w:left w:val="none" w:sz="0" w:space="0" w:color="auto"/>
            <w:bottom w:val="none" w:sz="0" w:space="0" w:color="auto"/>
            <w:right w:val="none" w:sz="0" w:space="0" w:color="auto"/>
          </w:divBdr>
        </w:div>
        <w:div w:id="1445924189">
          <w:marLeft w:val="0"/>
          <w:marRight w:val="0"/>
          <w:marTop w:val="0"/>
          <w:marBottom w:val="0"/>
          <w:divBdr>
            <w:top w:val="none" w:sz="0" w:space="0" w:color="auto"/>
            <w:left w:val="none" w:sz="0" w:space="0" w:color="auto"/>
            <w:bottom w:val="none" w:sz="0" w:space="0" w:color="auto"/>
            <w:right w:val="none" w:sz="0" w:space="0" w:color="auto"/>
          </w:divBdr>
        </w:div>
        <w:div w:id="889920701">
          <w:marLeft w:val="0"/>
          <w:marRight w:val="0"/>
          <w:marTop w:val="0"/>
          <w:marBottom w:val="0"/>
          <w:divBdr>
            <w:top w:val="none" w:sz="0" w:space="0" w:color="auto"/>
            <w:left w:val="none" w:sz="0" w:space="0" w:color="auto"/>
            <w:bottom w:val="none" w:sz="0" w:space="0" w:color="auto"/>
            <w:right w:val="none" w:sz="0" w:space="0" w:color="auto"/>
          </w:divBdr>
        </w:div>
      </w:divsChild>
    </w:div>
    <w:div w:id="587663368">
      <w:bodyDiv w:val="1"/>
      <w:marLeft w:val="0"/>
      <w:marRight w:val="0"/>
      <w:marTop w:val="0"/>
      <w:marBottom w:val="0"/>
      <w:divBdr>
        <w:top w:val="none" w:sz="0" w:space="0" w:color="auto"/>
        <w:left w:val="none" w:sz="0" w:space="0" w:color="auto"/>
        <w:bottom w:val="none" w:sz="0" w:space="0" w:color="auto"/>
        <w:right w:val="none" w:sz="0" w:space="0" w:color="auto"/>
      </w:divBdr>
      <w:divsChild>
        <w:div w:id="911623845">
          <w:marLeft w:val="0"/>
          <w:marRight w:val="0"/>
          <w:marTop w:val="0"/>
          <w:marBottom w:val="0"/>
          <w:divBdr>
            <w:top w:val="none" w:sz="0" w:space="0" w:color="auto"/>
            <w:left w:val="none" w:sz="0" w:space="0" w:color="auto"/>
            <w:bottom w:val="none" w:sz="0" w:space="0" w:color="auto"/>
            <w:right w:val="none" w:sz="0" w:space="0" w:color="auto"/>
          </w:divBdr>
        </w:div>
        <w:div w:id="1398701808">
          <w:marLeft w:val="0"/>
          <w:marRight w:val="0"/>
          <w:marTop w:val="0"/>
          <w:marBottom w:val="0"/>
          <w:divBdr>
            <w:top w:val="none" w:sz="0" w:space="0" w:color="auto"/>
            <w:left w:val="none" w:sz="0" w:space="0" w:color="auto"/>
            <w:bottom w:val="none" w:sz="0" w:space="0" w:color="auto"/>
            <w:right w:val="none" w:sz="0" w:space="0" w:color="auto"/>
          </w:divBdr>
        </w:div>
        <w:div w:id="1478837922">
          <w:marLeft w:val="0"/>
          <w:marRight w:val="0"/>
          <w:marTop w:val="0"/>
          <w:marBottom w:val="0"/>
          <w:divBdr>
            <w:top w:val="none" w:sz="0" w:space="0" w:color="auto"/>
            <w:left w:val="none" w:sz="0" w:space="0" w:color="auto"/>
            <w:bottom w:val="none" w:sz="0" w:space="0" w:color="auto"/>
            <w:right w:val="none" w:sz="0" w:space="0" w:color="auto"/>
          </w:divBdr>
        </w:div>
        <w:div w:id="1650089975">
          <w:marLeft w:val="0"/>
          <w:marRight w:val="0"/>
          <w:marTop w:val="0"/>
          <w:marBottom w:val="0"/>
          <w:divBdr>
            <w:top w:val="none" w:sz="0" w:space="0" w:color="auto"/>
            <w:left w:val="none" w:sz="0" w:space="0" w:color="auto"/>
            <w:bottom w:val="none" w:sz="0" w:space="0" w:color="auto"/>
            <w:right w:val="none" w:sz="0" w:space="0" w:color="auto"/>
          </w:divBdr>
        </w:div>
      </w:divsChild>
    </w:div>
    <w:div w:id="642348217">
      <w:bodyDiv w:val="1"/>
      <w:marLeft w:val="0"/>
      <w:marRight w:val="0"/>
      <w:marTop w:val="0"/>
      <w:marBottom w:val="0"/>
      <w:divBdr>
        <w:top w:val="none" w:sz="0" w:space="0" w:color="auto"/>
        <w:left w:val="none" w:sz="0" w:space="0" w:color="auto"/>
        <w:bottom w:val="none" w:sz="0" w:space="0" w:color="auto"/>
        <w:right w:val="none" w:sz="0" w:space="0" w:color="auto"/>
      </w:divBdr>
      <w:divsChild>
        <w:div w:id="1612931272">
          <w:marLeft w:val="0"/>
          <w:marRight w:val="0"/>
          <w:marTop w:val="0"/>
          <w:marBottom w:val="0"/>
          <w:divBdr>
            <w:top w:val="none" w:sz="0" w:space="0" w:color="auto"/>
            <w:left w:val="none" w:sz="0" w:space="0" w:color="auto"/>
            <w:bottom w:val="none" w:sz="0" w:space="0" w:color="auto"/>
            <w:right w:val="none" w:sz="0" w:space="0" w:color="auto"/>
          </w:divBdr>
        </w:div>
        <w:div w:id="246500296">
          <w:marLeft w:val="0"/>
          <w:marRight w:val="0"/>
          <w:marTop w:val="0"/>
          <w:marBottom w:val="0"/>
          <w:divBdr>
            <w:top w:val="none" w:sz="0" w:space="0" w:color="auto"/>
            <w:left w:val="none" w:sz="0" w:space="0" w:color="auto"/>
            <w:bottom w:val="none" w:sz="0" w:space="0" w:color="auto"/>
            <w:right w:val="none" w:sz="0" w:space="0" w:color="auto"/>
          </w:divBdr>
        </w:div>
        <w:div w:id="1399203820">
          <w:marLeft w:val="0"/>
          <w:marRight w:val="0"/>
          <w:marTop w:val="0"/>
          <w:marBottom w:val="0"/>
          <w:divBdr>
            <w:top w:val="none" w:sz="0" w:space="0" w:color="auto"/>
            <w:left w:val="none" w:sz="0" w:space="0" w:color="auto"/>
            <w:bottom w:val="none" w:sz="0" w:space="0" w:color="auto"/>
            <w:right w:val="none" w:sz="0" w:space="0" w:color="auto"/>
          </w:divBdr>
        </w:div>
      </w:divsChild>
    </w:div>
    <w:div w:id="643311215">
      <w:bodyDiv w:val="1"/>
      <w:marLeft w:val="0"/>
      <w:marRight w:val="0"/>
      <w:marTop w:val="0"/>
      <w:marBottom w:val="0"/>
      <w:divBdr>
        <w:top w:val="none" w:sz="0" w:space="0" w:color="auto"/>
        <w:left w:val="none" w:sz="0" w:space="0" w:color="auto"/>
        <w:bottom w:val="none" w:sz="0" w:space="0" w:color="auto"/>
        <w:right w:val="none" w:sz="0" w:space="0" w:color="auto"/>
      </w:divBdr>
      <w:divsChild>
        <w:div w:id="1313221349">
          <w:marLeft w:val="0"/>
          <w:marRight w:val="0"/>
          <w:marTop w:val="0"/>
          <w:marBottom w:val="0"/>
          <w:divBdr>
            <w:top w:val="none" w:sz="0" w:space="0" w:color="auto"/>
            <w:left w:val="none" w:sz="0" w:space="0" w:color="auto"/>
            <w:bottom w:val="none" w:sz="0" w:space="0" w:color="auto"/>
            <w:right w:val="none" w:sz="0" w:space="0" w:color="auto"/>
          </w:divBdr>
        </w:div>
      </w:divsChild>
    </w:div>
    <w:div w:id="663361611">
      <w:bodyDiv w:val="1"/>
      <w:marLeft w:val="0"/>
      <w:marRight w:val="0"/>
      <w:marTop w:val="0"/>
      <w:marBottom w:val="0"/>
      <w:divBdr>
        <w:top w:val="none" w:sz="0" w:space="0" w:color="auto"/>
        <w:left w:val="none" w:sz="0" w:space="0" w:color="auto"/>
        <w:bottom w:val="none" w:sz="0" w:space="0" w:color="auto"/>
        <w:right w:val="none" w:sz="0" w:space="0" w:color="auto"/>
      </w:divBdr>
      <w:divsChild>
        <w:div w:id="2024628645">
          <w:marLeft w:val="0"/>
          <w:marRight w:val="0"/>
          <w:marTop w:val="0"/>
          <w:marBottom w:val="0"/>
          <w:divBdr>
            <w:top w:val="none" w:sz="0" w:space="0" w:color="auto"/>
            <w:left w:val="none" w:sz="0" w:space="0" w:color="auto"/>
            <w:bottom w:val="none" w:sz="0" w:space="0" w:color="auto"/>
            <w:right w:val="none" w:sz="0" w:space="0" w:color="auto"/>
          </w:divBdr>
        </w:div>
        <w:div w:id="307518712">
          <w:marLeft w:val="0"/>
          <w:marRight w:val="0"/>
          <w:marTop w:val="0"/>
          <w:marBottom w:val="0"/>
          <w:divBdr>
            <w:top w:val="none" w:sz="0" w:space="0" w:color="auto"/>
            <w:left w:val="none" w:sz="0" w:space="0" w:color="auto"/>
            <w:bottom w:val="none" w:sz="0" w:space="0" w:color="auto"/>
            <w:right w:val="none" w:sz="0" w:space="0" w:color="auto"/>
          </w:divBdr>
        </w:div>
        <w:div w:id="1258518241">
          <w:marLeft w:val="0"/>
          <w:marRight w:val="0"/>
          <w:marTop w:val="0"/>
          <w:marBottom w:val="0"/>
          <w:divBdr>
            <w:top w:val="none" w:sz="0" w:space="0" w:color="auto"/>
            <w:left w:val="none" w:sz="0" w:space="0" w:color="auto"/>
            <w:bottom w:val="none" w:sz="0" w:space="0" w:color="auto"/>
            <w:right w:val="none" w:sz="0" w:space="0" w:color="auto"/>
          </w:divBdr>
        </w:div>
        <w:div w:id="782500930">
          <w:marLeft w:val="0"/>
          <w:marRight w:val="0"/>
          <w:marTop w:val="0"/>
          <w:marBottom w:val="0"/>
          <w:divBdr>
            <w:top w:val="none" w:sz="0" w:space="0" w:color="auto"/>
            <w:left w:val="none" w:sz="0" w:space="0" w:color="auto"/>
            <w:bottom w:val="none" w:sz="0" w:space="0" w:color="auto"/>
            <w:right w:val="none" w:sz="0" w:space="0" w:color="auto"/>
          </w:divBdr>
        </w:div>
        <w:div w:id="1921789920">
          <w:marLeft w:val="0"/>
          <w:marRight w:val="0"/>
          <w:marTop w:val="0"/>
          <w:marBottom w:val="0"/>
          <w:divBdr>
            <w:top w:val="none" w:sz="0" w:space="0" w:color="auto"/>
            <w:left w:val="none" w:sz="0" w:space="0" w:color="auto"/>
            <w:bottom w:val="none" w:sz="0" w:space="0" w:color="auto"/>
            <w:right w:val="none" w:sz="0" w:space="0" w:color="auto"/>
          </w:divBdr>
        </w:div>
      </w:divsChild>
    </w:div>
    <w:div w:id="689456101">
      <w:bodyDiv w:val="1"/>
      <w:marLeft w:val="0"/>
      <w:marRight w:val="0"/>
      <w:marTop w:val="0"/>
      <w:marBottom w:val="0"/>
      <w:divBdr>
        <w:top w:val="none" w:sz="0" w:space="0" w:color="auto"/>
        <w:left w:val="none" w:sz="0" w:space="0" w:color="auto"/>
        <w:bottom w:val="none" w:sz="0" w:space="0" w:color="auto"/>
        <w:right w:val="none" w:sz="0" w:space="0" w:color="auto"/>
      </w:divBdr>
      <w:divsChild>
        <w:div w:id="1010059576">
          <w:marLeft w:val="0"/>
          <w:marRight w:val="0"/>
          <w:marTop w:val="0"/>
          <w:marBottom w:val="0"/>
          <w:divBdr>
            <w:top w:val="none" w:sz="0" w:space="0" w:color="auto"/>
            <w:left w:val="none" w:sz="0" w:space="0" w:color="auto"/>
            <w:bottom w:val="none" w:sz="0" w:space="0" w:color="auto"/>
            <w:right w:val="none" w:sz="0" w:space="0" w:color="auto"/>
          </w:divBdr>
        </w:div>
        <w:div w:id="2055962347">
          <w:marLeft w:val="0"/>
          <w:marRight w:val="0"/>
          <w:marTop w:val="0"/>
          <w:marBottom w:val="0"/>
          <w:divBdr>
            <w:top w:val="none" w:sz="0" w:space="0" w:color="auto"/>
            <w:left w:val="none" w:sz="0" w:space="0" w:color="auto"/>
            <w:bottom w:val="none" w:sz="0" w:space="0" w:color="auto"/>
            <w:right w:val="none" w:sz="0" w:space="0" w:color="auto"/>
          </w:divBdr>
        </w:div>
        <w:div w:id="529996013">
          <w:marLeft w:val="0"/>
          <w:marRight w:val="0"/>
          <w:marTop w:val="0"/>
          <w:marBottom w:val="0"/>
          <w:divBdr>
            <w:top w:val="none" w:sz="0" w:space="0" w:color="auto"/>
            <w:left w:val="none" w:sz="0" w:space="0" w:color="auto"/>
            <w:bottom w:val="none" w:sz="0" w:space="0" w:color="auto"/>
            <w:right w:val="none" w:sz="0" w:space="0" w:color="auto"/>
          </w:divBdr>
        </w:div>
        <w:div w:id="973750902">
          <w:marLeft w:val="0"/>
          <w:marRight w:val="0"/>
          <w:marTop w:val="0"/>
          <w:marBottom w:val="0"/>
          <w:divBdr>
            <w:top w:val="none" w:sz="0" w:space="0" w:color="auto"/>
            <w:left w:val="none" w:sz="0" w:space="0" w:color="auto"/>
            <w:bottom w:val="none" w:sz="0" w:space="0" w:color="auto"/>
            <w:right w:val="none" w:sz="0" w:space="0" w:color="auto"/>
          </w:divBdr>
        </w:div>
        <w:div w:id="1059129637">
          <w:marLeft w:val="0"/>
          <w:marRight w:val="0"/>
          <w:marTop w:val="0"/>
          <w:marBottom w:val="0"/>
          <w:divBdr>
            <w:top w:val="none" w:sz="0" w:space="0" w:color="auto"/>
            <w:left w:val="none" w:sz="0" w:space="0" w:color="auto"/>
            <w:bottom w:val="none" w:sz="0" w:space="0" w:color="auto"/>
            <w:right w:val="none" w:sz="0" w:space="0" w:color="auto"/>
          </w:divBdr>
        </w:div>
        <w:div w:id="1435638658">
          <w:marLeft w:val="0"/>
          <w:marRight w:val="0"/>
          <w:marTop w:val="0"/>
          <w:marBottom w:val="0"/>
          <w:divBdr>
            <w:top w:val="none" w:sz="0" w:space="0" w:color="auto"/>
            <w:left w:val="none" w:sz="0" w:space="0" w:color="auto"/>
            <w:bottom w:val="none" w:sz="0" w:space="0" w:color="auto"/>
            <w:right w:val="none" w:sz="0" w:space="0" w:color="auto"/>
          </w:divBdr>
        </w:div>
        <w:div w:id="1515920687">
          <w:marLeft w:val="0"/>
          <w:marRight w:val="0"/>
          <w:marTop w:val="0"/>
          <w:marBottom w:val="0"/>
          <w:divBdr>
            <w:top w:val="none" w:sz="0" w:space="0" w:color="auto"/>
            <w:left w:val="none" w:sz="0" w:space="0" w:color="auto"/>
            <w:bottom w:val="none" w:sz="0" w:space="0" w:color="auto"/>
            <w:right w:val="none" w:sz="0" w:space="0" w:color="auto"/>
          </w:divBdr>
        </w:div>
      </w:divsChild>
    </w:div>
    <w:div w:id="689599729">
      <w:bodyDiv w:val="1"/>
      <w:marLeft w:val="0"/>
      <w:marRight w:val="0"/>
      <w:marTop w:val="0"/>
      <w:marBottom w:val="0"/>
      <w:divBdr>
        <w:top w:val="none" w:sz="0" w:space="0" w:color="auto"/>
        <w:left w:val="none" w:sz="0" w:space="0" w:color="auto"/>
        <w:bottom w:val="none" w:sz="0" w:space="0" w:color="auto"/>
        <w:right w:val="none" w:sz="0" w:space="0" w:color="auto"/>
      </w:divBdr>
      <w:divsChild>
        <w:div w:id="1231388333">
          <w:marLeft w:val="0"/>
          <w:marRight w:val="0"/>
          <w:marTop w:val="0"/>
          <w:marBottom w:val="0"/>
          <w:divBdr>
            <w:top w:val="none" w:sz="0" w:space="0" w:color="auto"/>
            <w:left w:val="none" w:sz="0" w:space="0" w:color="auto"/>
            <w:bottom w:val="none" w:sz="0" w:space="0" w:color="auto"/>
            <w:right w:val="none" w:sz="0" w:space="0" w:color="auto"/>
          </w:divBdr>
        </w:div>
        <w:div w:id="1572035518">
          <w:marLeft w:val="0"/>
          <w:marRight w:val="0"/>
          <w:marTop w:val="0"/>
          <w:marBottom w:val="0"/>
          <w:divBdr>
            <w:top w:val="none" w:sz="0" w:space="0" w:color="auto"/>
            <w:left w:val="none" w:sz="0" w:space="0" w:color="auto"/>
            <w:bottom w:val="none" w:sz="0" w:space="0" w:color="auto"/>
            <w:right w:val="none" w:sz="0" w:space="0" w:color="auto"/>
          </w:divBdr>
        </w:div>
        <w:div w:id="548422254">
          <w:marLeft w:val="0"/>
          <w:marRight w:val="0"/>
          <w:marTop w:val="0"/>
          <w:marBottom w:val="0"/>
          <w:divBdr>
            <w:top w:val="none" w:sz="0" w:space="0" w:color="auto"/>
            <w:left w:val="none" w:sz="0" w:space="0" w:color="auto"/>
            <w:bottom w:val="none" w:sz="0" w:space="0" w:color="auto"/>
            <w:right w:val="none" w:sz="0" w:space="0" w:color="auto"/>
          </w:divBdr>
        </w:div>
        <w:div w:id="2141025749">
          <w:marLeft w:val="0"/>
          <w:marRight w:val="0"/>
          <w:marTop w:val="0"/>
          <w:marBottom w:val="0"/>
          <w:divBdr>
            <w:top w:val="none" w:sz="0" w:space="0" w:color="auto"/>
            <w:left w:val="none" w:sz="0" w:space="0" w:color="auto"/>
            <w:bottom w:val="none" w:sz="0" w:space="0" w:color="auto"/>
            <w:right w:val="none" w:sz="0" w:space="0" w:color="auto"/>
          </w:divBdr>
        </w:div>
      </w:divsChild>
    </w:div>
    <w:div w:id="699671427">
      <w:bodyDiv w:val="1"/>
      <w:marLeft w:val="0"/>
      <w:marRight w:val="0"/>
      <w:marTop w:val="0"/>
      <w:marBottom w:val="0"/>
      <w:divBdr>
        <w:top w:val="none" w:sz="0" w:space="0" w:color="auto"/>
        <w:left w:val="none" w:sz="0" w:space="0" w:color="auto"/>
        <w:bottom w:val="none" w:sz="0" w:space="0" w:color="auto"/>
        <w:right w:val="none" w:sz="0" w:space="0" w:color="auto"/>
      </w:divBdr>
    </w:div>
    <w:div w:id="709110756">
      <w:bodyDiv w:val="1"/>
      <w:marLeft w:val="0"/>
      <w:marRight w:val="0"/>
      <w:marTop w:val="0"/>
      <w:marBottom w:val="0"/>
      <w:divBdr>
        <w:top w:val="none" w:sz="0" w:space="0" w:color="auto"/>
        <w:left w:val="none" w:sz="0" w:space="0" w:color="auto"/>
        <w:bottom w:val="none" w:sz="0" w:space="0" w:color="auto"/>
        <w:right w:val="none" w:sz="0" w:space="0" w:color="auto"/>
      </w:divBdr>
    </w:div>
    <w:div w:id="714741548">
      <w:bodyDiv w:val="1"/>
      <w:marLeft w:val="0"/>
      <w:marRight w:val="0"/>
      <w:marTop w:val="0"/>
      <w:marBottom w:val="0"/>
      <w:divBdr>
        <w:top w:val="none" w:sz="0" w:space="0" w:color="auto"/>
        <w:left w:val="none" w:sz="0" w:space="0" w:color="auto"/>
        <w:bottom w:val="none" w:sz="0" w:space="0" w:color="auto"/>
        <w:right w:val="none" w:sz="0" w:space="0" w:color="auto"/>
      </w:divBdr>
      <w:divsChild>
        <w:div w:id="2023971264">
          <w:marLeft w:val="0"/>
          <w:marRight w:val="0"/>
          <w:marTop w:val="0"/>
          <w:marBottom w:val="0"/>
          <w:divBdr>
            <w:top w:val="none" w:sz="0" w:space="0" w:color="auto"/>
            <w:left w:val="none" w:sz="0" w:space="0" w:color="auto"/>
            <w:bottom w:val="none" w:sz="0" w:space="0" w:color="auto"/>
            <w:right w:val="none" w:sz="0" w:space="0" w:color="auto"/>
          </w:divBdr>
          <w:divsChild>
            <w:div w:id="144946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37317">
      <w:bodyDiv w:val="1"/>
      <w:marLeft w:val="0"/>
      <w:marRight w:val="0"/>
      <w:marTop w:val="0"/>
      <w:marBottom w:val="0"/>
      <w:divBdr>
        <w:top w:val="none" w:sz="0" w:space="0" w:color="auto"/>
        <w:left w:val="none" w:sz="0" w:space="0" w:color="auto"/>
        <w:bottom w:val="none" w:sz="0" w:space="0" w:color="auto"/>
        <w:right w:val="none" w:sz="0" w:space="0" w:color="auto"/>
      </w:divBdr>
    </w:div>
    <w:div w:id="799104504">
      <w:bodyDiv w:val="1"/>
      <w:marLeft w:val="0"/>
      <w:marRight w:val="0"/>
      <w:marTop w:val="0"/>
      <w:marBottom w:val="0"/>
      <w:divBdr>
        <w:top w:val="none" w:sz="0" w:space="0" w:color="auto"/>
        <w:left w:val="none" w:sz="0" w:space="0" w:color="auto"/>
        <w:bottom w:val="none" w:sz="0" w:space="0" w:color="auto"/>
        <w:right w:val="none" w:sz="0" w:space="0" w:color="auto"/>
      </w:divBdr>
    </w:div>
    <w:div w:id="850417078">
      <w:bodyDiv w:val="1"/>
      <w:marLeft w:val="0"/>
      <w:marRight w:val="0"/>
      <w:marTop w:val="0"/>
      <w:marBottom w:val="0"/>
      <w:divBdr>
        <w:top w:val="none" w:sz="0" w:space="0" w:color="auto"/>
        <w:left w:val="none" w:sz="0" w:space="0" w:color="auto"/>
        <w:bottom w:val="none" w:sz="0" w:space="0" w:color="auto"/>
        <w:right w:val="none" w:sz="0" w:space="0" w:color="auto"/>
      </w:divBdr>
      <w:divsChild>
        <w:div w:id="1392265540">
          <w:marLeft w:val="0"/>
          <w:marRight w:val="0"/>
          <w:marTop w:val="0"/>
          <w:marBottom w:val="0"/>
          <w:divBdr>
            <w:top w:val="none" w:sz="0" w:space="0" w:color="auto"/>
            <w:left w:val="none" w:sz="0" w:space="0" w:color="auto"/>
            <w:bottom w:val="none" w:sz="0" w:space="0" w:color="auto"/>
            <w:right w:val="none" w:sz="0" w:space="0" w:color="auto"/>
          </w:divBdr>
        </w:div>
        <w:div w:id="1329167498">
          <w:marLeft w:val="0"/>
          <w:marRight w:val="0"/>
          <w:marTop w:val="0"/>
          <w:marBottom w:val="0"/>
          <w:divBdr>
            <w:top w:val="none" w:sz="0" w:space="0" w:color="auto"/>
            <w:left w:val="none" w:sz="0" w:space="0" w:color="auto"/>
            <w:bottom w:val="none" w:sz="0" w:space="0" w:color="auto"/>
            <w:right w:val="none" w:sz="0" w:space="0" w:color="auto"/>
          </w:divBdr>
        </w:div>
        <w:div w:id="2052145998">
          <w:marLeft w:val="0"/>
          <w:marRight w:val="0"/>
          <w:marTop w:val="0"/>
          <w:marBottom w:val="0"/>
          <w:divBdr>
            <w:top w:val="none" w:sz="0" w:space="0" w:color="auto"/>
            <w:left w:val="none" w:sz="0" w:space="0" w:color="auto"/>
            <w:bottom w:val="none" w:sz="0" w:space="0" w:color="auto"/>
            <w:right w:val="none" w:sz="0" w:space="0" w:color="auto"/>
          </w:divBdr>
        </w:div>
        <w:div w:id="667097733">
          <w:marLeft w:val="0"/>
          <w:marRight w:val="0"/>
          <w:marTop w:val="0"/>
          <w:marBottom w:val="0"/>
          <w:divBdr>
            <w:top w:val="none" w:sz="0" w:space="0" w:color="auto"/>
            <w:left w:val="none" w:sz="0" w:space="0" w:color="auto"/>
            <w:bottom w:val="none" w:sz="0" w:space="0" w:color="auto"/>
            <w:right w:val="none" w:sz="0" w:space="0" w:color="auto"/>
          </w:divBdr>
        </w:div>
        <w:div w:id="2005543025">
          <w:marLeft w:val="0"/>
          <w:marRight w:val="0"/>
          <w:marTop w:val="0"/>
          <w:marBottom w:val="0"/>
          <w:divBdr>
            <w:top w:val="none" w:sz="0" w:space="0" w:color="auto"/>
            <w:left w:val="none" w:sz="0" w:space="0" w:color="auto"/>
            <w:bottom w:val="none" w:sz="0" w:space="0" w:color="auto"/>
            <w:right w:val="none" w:sz="0" w:space="0" w:color="auto"/>
          </w:divBdr>
        </w:div>
        <w:div w:id="115176200">
          <w:marLeft w:val="0"/>
          <w:marRight w:val="0"/>
          <w:marTop w:val="0"/>
          <w:marBottom w:val="0"/>
          <w:divBdr>
            <w:top w:val="none" w:sz="0" w:space="0" w:color="auto"/>
            <w:left w:val="none" w:sz="0" w:space="0" w:color="auto"/>
            <w:bottom w:val="none" w:sz="0" w:space="0" w:color="auto"/>
            <w:right w:val="none" w:sz="0" w:space="0" w:color="auto"/>
          </w:divBdr>
        </w:div>
      </w:divsChild>
    </w:div>
    <w:div w:id="857741430">
      <w:bodyDiv w:val="1"/>
      <w:marLeft w:val="0"/>
      <w:marRight w:val="0"/>
      <w:marTop w:val="0"/>
      <w:marBottom w:val="0"/>
      <w:divBdr>
        <w:top w:val="none" w:sz="0" w:space="0" w:color="auto"/>
        <w:left w:val="none" w:sz="0" w:space="0" w:color="auto"/>
        <w:bottom w:val="none" w:sz="0" w:space="0" w:color="auto"/>
        <w:right w:val="none" w:sz="0" w:space="0" w:color="auto"/>
      </w:divBdr>
    </w:div>
    <w:div w:id="960842314">
      <w:bodyDiv w:val="1"/>
      <w:marLeft w:val="0"/>
      <w:marRight w:val="0"/>
      <w:marTop w:val="0"/>
      <w:marBottom w:val="0"/>
      <w:divBdr>
        <w:top w:val="none" w:sz="0" w:space="0" w:color="auto"/>
        <w:left w:val="none" w:sz="0" w:space="0" w:color="auto"/>
        <w:bottom w:val="none" w:sz="0" w:space="0" w:color="auto"/>
        <w:right w:val="none" w:sz="0" w:space="0" w:color="auto"/>
      </w:divBdr>
    </w:div>
    <w:div w:id="996685974">
      <w:bodyDiv w:val="1"/>
      <w:marLeft w:val="0"/>
      <w:marRight w:val="0"/>
      <w:marTop w:val="0"/>
      <w:marBottom w:val="0"/>
      <w:divBdr>
        <w:top w:val="none" w:sz="0" w:space="0" w:color="auto"/>
        <w:left w:val="none" w:sz="0" w:space="0" w:color="auto"/>
        <w:bottom w:val="none" w:sz="0" w:space="0" w:color="auto"/>
        <w:right w:val="none" w:sz="0" w:space="0" w:color="auto"/>
      </w:divBdr>
    </w:div>
    <w:div w:id="1001007584">
      <w:bodyDiv w:val="1"/>
      <w:marLeft w:val="0"/>
      <w:marRight w:val="0"/>
      <w:marTop w:val="0"/>
      <w:marBottom w:val="0"/>
      <w:divBdr>
        <w:top w:val="none" w:sz="0" w:space="0" w:color="auto"/>
        <w:left w:val="none" w:sz="0" w:space="0" w:color="auto"/>
        <w:bottom w:val="none" w:sz="0" w:space="0" w:color="auto"/>
        <w:right w:val="none" w:sz="0" w:space="0" w:color="auto"/>
      </w:divBdr>
    </w:div>
    <w:div w:id="1086808965">
      <w:bodyDiv w:val="1"/>
      <w:marLeft w:val="0"/>
      <w:marRight w:val="0"/>
      <w:marTop w:val="0"/>
      <w:marBottom w:val="0"/>
      <w:divBdr>
        <w:top w:val="none" w:sz="0" w:space="0" w:color="auto"/>
        <w:left w:val="none" w:sz="0" w:space="0" w:color="auto"/>
        <w:bottom w:val="none" w:sz="0" w:space="0" w:color="auto"/>
        <w:right w:val="none" w:sz="0" w:space="0" w:color="auto"/>
      </w:divBdr>
      <w:divsChild>
        <w:div w:id="615210408">
          <w:marLeft w:val="0"/>
          <w:marRight w:val="0"/>
          <w:marTop w:val="0"/>
          <w:marBottom w:val="0"/>
          <w:divBdr>
            <w:top w:val="none" w:sz="0" w:space="0" w:color="auto"/>
            <w:left w:val="none" w:sz="0" w:space="0" w:color="auto"/>
            <w:bottom w:val="none" w:sz="0" w:space="0" w:color="auto"/>
            <w:right w:val="none" w:sz="0" w:space="0" w:color="auto"/>
          </w:divBdr>
        </w:div>
        <w:div w:id="685639288">
          <w:marLeft w:val="0"/>
          <w:marRight w:val="0"/>
          <w:marTop w:val="0"/>
          <w:marBottom w:val="0"/>
          <w:divBdr>
            <w:top w:val="none" w:sz="0" w:space="0" w:color="auto"/>
            <w:left w:val="none" w:sz="0" w:space="0" w:color="auto"/>
            <w:bottom w:val="none" w:sz="0" w:space="0" w:color="auto"/>
            <w:right w:val="none" w:sz="0" w:space="0" w:color="auto"/>
          </w:divBdr>
        </w:div>
        <w:div w:id="841507196">
          <w:marLeft w:val="0"/>
          <w:marRight w:val="0"/>
          <w:marTop w:val="0"/>
          <w:marBottom w:val="0"/>
          <w:divBdr>
            <w:top w:val="none" w:sz="0" w:space="0" w:color="auto"/>
            <w:left w:val="none" w:sz="0" w:space="0" w:color="auto"/>
            <w:bottom w:val="none" w:sz="0" w:space="0" w:color="auto"/>
            <w:right w:val="none" w:sz="0" w:space="0" w:color="auto"/>
          </w:divBdr>
        </w:div>
        <w:div w:id="1848523667">
          <w:marLeft w:val="0"/>
          <w:marRight w:val="0"/>
          <w:marTop w:val="0"/>
          <w:marBottom w:val="0"/>
          <w:divBdr>
            <w:top w:val="none" w:sz="0" w:space="0" w:color="auto"/>
            <w:left w:val="none" w:sz="0" w:space="0" w:color="auto"/>
            <w:bottom w:val="none" w:sz="0" w:space="0" w:color="auto"/>
            <w:right w:val="none" w:sz="0" w:space="0" w:color="auto"/>
          </w:divBdr>
        </w:div>
        <w:div w:id="129519228">
          <w:marLeft w:val="0"/>
          <w:marRight w:val="0"/>
          <w:marTop w:val="0"/>
          <w:marBottom w:val="0"/>
          <w:divBdr>
            <w:top w:val="none" w:sz="0" w:space="0" w:color="auto"/>
            <w:left w:val="none" w:sz="0" w:space="0" w:color="auto"/>
            <w:bottom w:val="none" w:sz="0" w:space="0" w:color="auto"/>
            <w:right w:val="none" w:sz="0" w:space="0" w:color="auto"/>
          </w:divBdr>
        </w:div>
        <w:div w:id="2135059858">
          <w:marLeft w:val="0"/>
          <w:marRight w:val="0"/>
          <w:marTop w:val="0"/>
          <w:marBottom w:val="0"/>
          <w:divBdr>
            <w:top w:val="none" w:sz="0" w:space="0" w:color="auto"/>
            <w:left w:val="none" w:sz="0" w:space="0" w:color="auto"/>
            <w:bottom w:val="none" w:sz="0" w:space="0" w:color="auto"/>
            <w:right w:val="none" w:sz="0" w:space="0" w:color="auto"/>
          </w:divBdr>
        </w:div>
        <w:div w:id="470903854">
          <w:marLeft w:val="0"/>
          <w:marRight w:val="0"/>
          <w:marTop w:val="0"/>
          <w:marBottom w:val="0"/>
          <w:divBdr>
            <w:top w:val="none" w:sz="0" w:space="0" w:color="auto"/>
            <w:left w:val="none" w:sz="0" w:space="0" w:color="auto"/>
            <w:bottom w:val="none" w:sz="0" w:space="0" w:color="auto"/>
            <w:right w:val="none" w:sz="0" w:space="0" w:color="auto"/>
          </w:divBdr>
        </w:div>
        <w:div w:id="1236090846">
          <w:marLeft w:val="0"/>
          <w:marRight w:val="0"/>
          <w:marTop w:val="0"/>
          <w:marBottom w:val="0"/>
          <w:divBdr>
            <w:top w:val="none" w:sz="0" w:space="0" w:color="auto"/>
            <w:left w:val="none" w:sz="0" w:space="0" w:color="auto"/>
            <w:bottom w:val="none" w:sz="0" w:space="0" w:color="auto"/>
            <w:right w:val="none" w:sz="0" w:space="0" w:color="auto"/>
          </w:divBdr>
        </w:div>
      </w:divsChild>
    </w:div>
    <w:div w:id="1099839713">
      <w:bodyDiv w:val="1"/>
      <w:marLeft w:val="0"/>
      <w:marRight w:val="0"/>
      <w:marTop w:val="0"/>
      <w:marBottom w:val="0"/>
      <w:divBdr>
        <w:top w:val="none" w:sz="0" w:space="0" w:color="auto"/>
        <w:left w:val="none" w:sz="0" w:space="0" w:color="auto"/>
        <w:bottom w:val="none" w:sz="0" w:space="0" w:color="auto"/>
        <w:right w:val="none" w:sz="0" w:space="0" w:color="auto"/>
      </w:divBdr>
      <w:divsChild>
        <w:div w:id="1555383806">
          <w:marLeft w:val="0"/>
          <w:marRight w:val="0"/>
          <w:marTop w:val="0"/>
          <w:marBottom w:val="0"/>
          <w:divBdr>
            <w:top w:val="none" w:sz="0" w:space="0" w:color="auto"/>
            <w:left w:val="none" w:sz="0" w:space="0" w:color="auto"/>
            <w:bottom w:val="none" w:sz="0" w:space="0" w:color="auto"/>
            <w:right w:val="none" w:sz="0" w:space="0" w:color="auto"/>
          </w:divBdr>
        </w:div>
        <w:div w:id="965743848">
          <w:marLeft w:val="0"/>
          <w:marRight w:val="0"/>
          <w:marTop w:val="0"/>
          <w:marBottom w:val="0"/>
          <w:divBdr>
            <w:top w:val="none" w:sz="0" w:space="0" w:color="auto"/>
            <w:left w:val="none" w:sz="0" w:space="0" w:color="auto"/>
            <w:bottom w:val="none" w:sz="0" w:space="0" w:color="auto"/>
            <w:right w:val="none" w:sz="0" w:space="0" w:color="auto"/>
          </w:divBdr>
        </w:div>
        <w:div w:id="404572730">
          <w:marLeft w:val="0"/>
          <w:marRight w:val="0"/>
          <w:marTop w:val="0"/>
          <w:marBottom w:val="0"/>
          <w:divBdr>
            <w:top w:val="none" w:sz="0" w:space="0" w:color="auto"/>
            <w:left w:val="none" w:sz="0" w:space="0" w:color="auto"/>
            <w:bottom w:val="none" w:sz="0" w:space="0" w:color="auto"/>
            <w:right w:val="none" w:sz="0" w:space="0" w:color="auto"/>
          </w:divBdr>
        </w:div>
        <w:div w:id="801314094">
          <w:marLeft w:val="0"/>
          <w:marRight w:val="0"/>
          <w:marTop w:val="0"/>
          <w:marBottom w:val="0"/>
          <w:divBdr>
            <w:top w:val="none" w:sz="0" w:space="0" w:color="auto"/>
            <w:left w:val="none" w:sz="0" w:space="0" w:color="auto"/>
            <w:bottom w:val="none" w:sz="0" w:space="0" w:color="auto"/>
            <w:right w:val="none" w:sz="0" w:space="0" w:color="auto"/>
          </w:divBdr>
        </w:div>
        <w:div w:id="621882213">
          <w:marLeft w:val="0"/>
          <w:marRight w:val="0"/>
          <w:marTop w:val="0"/>
          <w:marBottom w:val="0"/>
          <w:divBdr>
            <w:top w:val="none" w:sz="0" w:space="0" w:color="auto"/>
            <w:left w:val="none" w:sz="0" w:space="0" w:color="auto"/>
            <w:bottom w:val="none" w:sz="0" w:space="0" w:color="auto"/>
            <w:right w:val="none" w:sz="0" w:space="0" w:color="auto"/>
          </w:divBdr>
        </w:div>
        <w:div w:id="1526093045">
          <w:marLeft w:val="0"/>
          <w:marRight w:val="0"/>
          <w:marTop w:val="0"/>
          <w:marBottom w:val="0"/>
          <w:divBdr>
            <w:top w:val="none" w:sz="0" w:space="0" w:color="auto"/>
            <w:left w:val="none" w:sz="0" w:space="0" w:color="auto"/>
            <w:bottom w:val="none" w:sz="0" w:space="0" w:color="auto"/>
            <w:right w:val="none" w:sz="0" w:space="0" w:color="auto"/>
          </w:divBdr>
        </w:div>
        <w:div w:id="1284658310">
          <w:marLeft w:val="0"/>
          <w:marRight w:val="0"/>
          <w:marTop w:val="0"/>
          <w:marBottom w:val="0"/>
          <w:divBdr>
            <w:top w:val="none" w:sz="0" w:space="0" w:color="auto"/>
            <w:left w:val="none" w:sz="0" w:space="0" w:color="auto"/>
            <w:bottom w:val="none" w:sz="0" w:space="0" w:color="auto"/>
            <w:right w:val="none" w:sz="0" w:space="0" w:color="auto"/>
          </w:divBdr>
        </w:div>
      </w:divsChild>
    </w:div>
    <w:div w:id="1111507551">
      <w:bodyDiv w:val="1"/>
      <w:marLeft w:val="0"/>
      <w:marRight w:val="0"/>
      <w:marTop w:val="0"/>
      <w:marBottom w:val="0"/>
      <w:divBdr>
        <w:top w:val="none" w:sz="0" w:space="0" w:color="auto"/>
        <w:left w:val="none" w:sz="0" w:space="0" w:color="auto"/>
        <w:bottom w:val="none" w:sz="0" w:space="0" w:color="auto"/>
        <w:right w:val="none" w:sz="0" w:space="0" w:color="auto"/>
      </w:divBdr>
      <w:divsChild>
        <w:div w:id="1743525530">
          <w:marLeft w:val="0"/>
          <w:marRight w:val="0"/>
          <w:marTop w:val="0"/>
          <w:marBottom w:val="0"/>
          <w:divBdr>
            <w:top w:val="none" w:sz="0" w:space="0" w:color="auto"/>
            <w:left w:val="none" w:sz="0" w:space="0" w:color="auto"/>
            <w:bottom w:val="none" w:sz="0" w:space="0" w:color="auto"/>
            <w:right w:val="none" w:sz="0" w:space="0" w:color="auto"/>
          </w:divBdr>
        </w:div>
        <w:div w:id="384646914">
          <w:marLeft w:val="0"/>
          <w:marRight w:val="0"/>
          <w:marTop w:val="0"/>
          <w:marBottom w:val="0"/>
          <w:divBdr>
            <w:top w:val="none" w:sz="0" w:space="0" w:color="auto"/>
            <w:left w:val="none" w:sz="0" w:space="0" w:color="auto"/>
            <w:bottom w:val="none" w:sz="0" w:space="0" w:color="auto"/>
            <w:right w:val="none" w:sz="0" w:space="0" w:color="auto"/>
          </w:divBdr>
        </w:div>
        <w:div w:id="1472022060">
          <w:marLeft w:val="0"/>
          <w:marRight w:val="0"/>
          <w:marTop w:val="0"/>
          <w:marBottom w:val="0"/>
          <w:divBdr>
            <w:top w:val="none" w:sz="0" w:space="0" w:color="auto"/>
            <w:left w:val="none" w:sz="0" w:space="0" w:color="auto"/>
            <w:bottom w:val="none" w:sz="0" w:space="0" w:color="auto"/>
            <w:right w:val="none" w:sz="0" w:space="0" w:color="auto"/>
          </w:divBdr>
        </w:div>
        <w:div w:id="631596649">
          <w:marLeft w:val="0"/>
          <w:marRight w:val="0"/>
          <w:marTop w:val="0"/>
          <w:marBottom w:val="0"/>
          <w:divBdr>
            <w:top w:val="none" w:sz="0" w:space="0" w:color="auto"/>
            <w:left w:val="none" w:sz="0" w:space="0" w:color="auto"/>
            <w:bottom w:val="none" w:sz="0" w:space="0" w:color="auto"/>
            <w:right w:val="none" w:sz="0" w:space="0" w:color="auto"/>
          </w:divBdr>
        </w:div>
        <w:div w:id="1926105324">
          <w:marLeft w:val="0"/>
          <w:marRight w:val="0"/>
          <w:marTop w:val="0"/>
          <w:marBottom w:val="0"/>
          <w:divBdr>
            <w:top w:val="none" w:sz="0" w:space="0" w:color="auto"/>
            <w:left w:val="none" w:sz="0" w:space="0" w:color="auto"/>
            <w:bottom w:val="none" w:sz="0" w:space="0" w:color="auto"/>
            <w:right w:val="none" w:sz="0" w:space="0" w:color="auto"/>
          </w:divBdr>
        </w:div>
      </w:divsChild>
    </w:div>
    <w:div w:id="1135755182">
      <w:bodyDiv w:val="1"/>
      <w:marLeft w:val="0"/>
      <w:marRight w:val="0"/>
      <w:marTop w:val="0"/>
      <w:marBottom w:val="0"/>
      <w:divBdr>
        <w:top w:val="none" w:sz="0" w:space="0" w:color="auto"/>
        <w:left w:val="none" w:sz="0" w:space="0" w:color="auto"/>
        <w:bottom w:val="none" w:sz="0" w:space="0" w:color="auto"/>
        <w:right w:val="none" w:sz="0" w:space="0" w:color="auto"/>
      </w:divBdr>
      <w:divsChild>
        <w:div w:id="468009884">
          <w:marLeft w:val="0"/>
          <w:marRight w:val="0"/>
          <w:marTop w:val="0"/>
          <w:marBottom w:val="0"/>
          <w:divBdr>
            <w:top w:val="none" w:sz="0" w:space="0" w:color="auto"/>
            <w:left w:val="none" w:sz="0" w:space="0" w:color="auto"/>
            <w:bottom w:val="none" w:sz="0" w:space="0" w:color="auto"/>
            <w:right w:val="none" w:sz="0" w:space="0" w:color="auto"/>
          </w:divBdr>
        </w:div>
        <w:div w:id="1572348783">
          <w:marLeft w:val="0"/>
          <w:marRight w:val="0"/>
          <w:marTop w:val="0"/>
          <w:marBottom w:val="0"/>
          <w:divBdr>
            <w:top w:val="none" w:sz="0" w:space="0" w:color="auto"/>
            <w:left w:val="none" w:sz="0" w:space="0" w:color="auto"/>
            <w:bottom w:val="none" w:sz="0" w:space="0" w:color="auto"/>
            <w:right w:val="none" w:sz="0" w:space="0" w:color="auto"/>
          </w:divBdr>
        </w:div>
        <w:div w:id="2069645367">
          <w:marLeft w:val="0"/>
          <w:marRight w:val="0"/>
          <w:marTop w:val="0"/>
          <w:marBottom w:val="0"/>
          <w:divBdr>
            <w:top w:val="none" w:sz="0" w:space="0" w:color="auto"/>
            <w:left w:val="none" w:sz="0" w:space="0" w:color="auto"/>
            <w:bottom w:val="none" w:sz="0" w:space="0" w:color="auto"/>
            <w:right w:val="none" w:sz="0" w:space="0" w:color="auto"/>
          </w:divBdr>
        </w:div>
        <w:div w:id="120463551">
          <w:marLeft w:val="0"/>
          <w:marRight w:val="0"/>
          <w:marTop w:val="0"/>
          <w:marBottom w:val="0"/>
          <w:divBdr>
            <w:top w:val="none" w:sz="0" w:space="0" w:color="auto"/>
            <w:left w:val="none" w:sz="0" w:space="0" w:color="auto"/>
            <w:bottom w:val="none" w:sz="0" w:space="0" w:color="auto"/>
            <w:right w:val="none" w:sz="0" w:space="0" w:color="auto"/>
          </w:divBdr>
        </w:div>
      </w:divsChild>
    </w:div>
    <w:div w:id="1152523429">
      <w:bodyDiv w:val="1"/>
      <w:marLeft w:val="0"/>
      <w:marRight w:val="0"/>
      <w:marTop w:val="0"/>
      <w:marBottom w:val="0"/>
      <w:divBdr>
        <w:top w:val="none" w:sz="0" w:space="0" w:color="auto"/>
        <w:left w:val="none" w:sz="0" w:space="0" w:color="auto"/>
        <w:bottom w:val="none" w:sz="0" w:space="0" w:color="auto"/>
        <w:right w:val="none" w:sz="0" w:space="0" w:color="auto"/>
      </w:divBdr>
      <w:divsChild>
        <w:div w:id="1680621580">
          <w:marLeft w:val="0"/>
          <w:marRight w:val="0"/>
          <w:marTop w:val="0"/>
          <w:marBottom w:val="0"/>
          <w:divBdr>
            <w:top w:val="none" w:sz="0" w:space="0" w:color="auto"/>
            <w:left w:val="none" w:sz="0" w:space="0" w:color="auto"/>
            <w:bottom w:val="none" w:sz="0" w:space="0" w:color="auto"/>
            <w:right w:val="none" w:sz="0" w:space="0" w:color="auto"/>
          </w:divBdr>
        </w:div>
        <w:div w:id="457068973">
          <w:marLeft w:val="0"/>
          <w:marRight w:val="0"/>
          <w:marTop w:val="0"/>
          <w:marBottom w:val="0"/>
          <w:divBdr>
            <w:top w:val="none" w:sz="0" w:space="0" w:color="auto"/>
            <w:left w:val="none" w:sz="0" w:space="0" w:color="auto"/>
            <w:bottom w:val="none" w:sz="0" w:space="0" w:color="auto"/>
            <w:right w:val="none" w:sz="0" w:space="0" w:color="auto"/>
          </w:divBdr>
        </w:div>
        <w:div w:id="1899394041">
          <w:marLeft w:val="0"/>
          <w:marRight w:val="0"/>
          <w:marTop w:val="0"/>
          <w:marBottom w:val="0"/>
          <w:divBdr>
            <w:top w:val="none" w:sz="0" w:space="0" w:color="auto"/>
            <w:left w:val="none" w:sz="0" w:space="0" w:color="auto"/>
            <w:bottom w:val="none" w:sz="0" w:space="0" w:color="auto"/>
            <w:right w:val="none" w:sz="0" w:space="0" w:color="auto"/>
          </w:divBdr>
        </w:div>
        <w:div w:id="1152522046">
          <w:marLeft w:val="0"/>
          <w:marRight w:val="0"/>
          <w:marTop w:val="0"/>
          <w:marBottom w:val="0"/>
          <w:divBdr>
            <w:top w:val="none" w:sz="0" w:space="0" w:color="auto"/>
            <w:left w:val="none" w:sz="0" w:space="0" w:color="auto"/>
            <w:bottom w:val="none" w:sz="0" w:space="0" w:color="auto"/>
            <w:right w:val="none" w:sz="0" w:space="0" w:color="auto"/>
          </w:divBdr>
        </w:div>
        <w:div w:id="851995034">
          <w:marLeft w:val="0"/>
          <w:marRight w:val="0"/>
          <w:marTop w:val="0"/>
          <w:marBottom w:val="0"/>
          <w:divBdr>
            <w:top w:val="none" w:sz="0" w:space="0" w:color="auto"/>
            <w:left w:val="none" w:sz="0" w:space="0" w:color="auto"/>
            <w:bottom w:val="none" w:sz="0" w:space="0" w:color="auto"/>
            <w:right w:val="none" w:sz="0" w:space="0" w:color="auto"/>
          </w:divBdr>
        </w:div>
        <w:div w:id="1893418260">
          <w:marLeft w:val="0"/>
          <w:marRight w:val="0"/>
          <w:marTop w:val="0"/>
          <w:marBottom w:val="0"/>
          <w:divBdr>
            <w:top w:val="none" w:sz="0" w:space="0" w:color="auto"/>
            <w:left w:val="none" w:sz="0" w:space="0" w:color="auto"/>
            <w:bottom w:val="none" w:sz="0" w:space="0" w:color="auto"/>
            <w:right w:val="none" w:sz="0" w:space="0" w:color="auto"/>
          </w:divBdr>
        </w:div>
        <w:div w:id="1057317113">
          <w:marLeft w:val="0"/>
          <w:marRight w:val="0"/>
          <w:marTop w:val="0"/>
          <w:marBottom w:val="0"/>
          <w:divBdr>
            <w:top w:val="none" w:sz="0" w:space="0" w:color="auto"/>
            <w:left w:val="none" w:sz="0" w:space="0" w:color="auto"/>
            <w:bottom w:val="none" w:sz="0" w:space="0" w:color="auto"/>
            <w:right w:val="none" w:sz="0" w:space="0" w:color="auto"/>
          </w:divBdr>
        </w:div>
        <w:div w:id="1339506836">
          <w:marLeft w:val="0"/>
          <w:marRight w:val="0"/>
          <w:marTop w:val="0"/>
          <w:marBottom w:val="0"/>
          <w:divBdr>
            <w:top w:val="none" w:sz="0" w:space="0" w:color="auto"/>
            <w:left w:val="none" w:sz="0" w:space="0" w:color="auto"/>
            <w:bottom w:val="none" w:sz="0" w:space="0" w:color="auto"/>
            <w:right w:val="none" w:sz="0" w:space="0" w:color="auto"/>
          </w:divBdr>
        </w:div>
        <w:div w:id="2041514540">
          <w:marLeft w:val="0"/>
          <w:marRight w:val="0"/>
          <w:marTop w:val="0"/>
          <w:marBottom w:val="0"/>
          <w:divBdr>
            <w:top w:val="none" w:sz="0" w:space="0" w:color="auto"/>
            <w:left w:val="none" w:sz="0" w:space="0" w:color="auto"/>
            <w:bottom w:val="none" w:sz="0" w:space="0" w:color="auto"/>
            <w:right w:val="none" w:sz="0" w:space="0" w:color="auto"/>
          </w:divBdr>
        </w:div>
        <w:div w:id="1243025748">
          <w:marLeft w:val="0"/>
          <w:marRight w:val="0"/>
          <w:marTop w:val="0"/>
          <w:marBottom w:val="0"/>
          <w:divBdr>
            <w:top w:val="none" w:sz="0" w:space="0" w:color="auto"/>
            <w:left w:val="none" w:sz="0" w:space="0" w:color="auto"/>
            <w:bottom w:val="none" w:sz="0" w:space="0" w:color="auto"/>
            <w:right w:val="none" w:sz="0" w:space="0" w:color="auto"/>
          </w:divBdr>
        </w:div>
      </w:divsChild>
    </w:div>
    <w:div w:id="1157652789">
      <w:bodyDiv w:val="1"/>
      <w:marLeft w:val="0"/>
      <w:marRight w:val="0"/>
      <w:marTop w:val="0"/>
      <w:marBottom w:val="0"/>
      <w:divBdr>
        <w:top w:val="none" w:sz="0" w:space="0" w:color="auto"/>
        <w:left w:val="none" w:sz="0" w:space="0" w:color="auto"/>
        <w:bottom w:val="none" w:sz="0" w:space="0" w:color="auto"/>
        <w:right w:val="none" w:sz="0" w:space="0" w:color="auto"/>
      </w:divBdr>
    </w:div>
    <w:div w:id="1176654367">
      <w:bodyDiv w:val="1"/>
      <w:marLeft w:val="0"/>
      <w:marRight w:val="0"/>
      <w:marTop w:val="0"/>
      <w:marBottom w:val="0"/>
      <w:divBdr>
        <w:top w:val="none" w:sz="0" w:space="0" w:color="auto"/>
        <w:left w:val="none" w:sz="0" w:space="0" w:color="auto"/>
        <w:bottom w:val="none" w:sz="0" w:space="0" w:color="auto"/>
        <w:right w:val="none" w:sz="0" w:space="0" w:color="auto"/>
      </w:divBdr>
      <w:divsChild>
        <w:div w:id="2130931585">
          <w:marLeft w:val="0"/>
          <w:marRight w:val="0"/>
          <w:marTop w:val="0"/>
          <w:marBottom w:val="0"/>
          <w:divBdr>
            <w:top w:val="none" w:sz="0" w:space="0" w:color="auto"/>
            <w:left w:val="none" w:sz="0" w:space="0" w:color="auto"/>
            <w:bottom w:val="none" w:sz="0" w:space="0" w:color="auto"/>
            <w:right w:val="none" w:sz="0" w:space="0" w:color="auto"/>
          </w:divBdr>
        </w:div>
        <w:div w:id="1248073368">
          <w:marLeft w:val="0"/>
          <w:marRight w:val="0"/>
          <w:marTop w:val="0"/>
          <w:marBottom w:val="0"/>
          <w:divBdr>
            <w:top w:val="none" w:sz="0" w:space="0" w:color="auto"/>
            <w:left w:val="none" w:sz="0" w:space="0" w:color="auto"/>
            <w:bottom w:val="none" w:sz="0" w:space="0" w:color="auto"/>
            <w:right w:val="none" w:sz="0" w:space="0" w:color="auto"/>
          </w:divBdr>
        </w:div>
        <w:div w:id="1128399879">
          <w:marLeft w:val="0"/>
          <w:marRight w:val="0"/>
          <w:marTop w:val="0"/>
          <w:marBottom w:val="0"/>
          <w:divBdr>
            <w:top w:val="none" w:sz="0" w:space="0" w:color="auto"/>
            <w:left w:val="none" w:sz="0" w:space="0" w:color="auto"/>
            <w:bottom w:val="none" w:sz="0" w:space="0" w:color="auto"/>
            <w:right w:val="none" w:sz="0" w:space="0" w:color="auto"/>
          </w:divBdr>
        </w:div>
        <w:div w:id="2054038491">
          <w:marLeft w:val="0"/>
          <w:marRight w:val="0"/>
          <w:marTop w:val="0"/>
          <w:marBottom w:val="0"/>
          <w:divBdr>
            <w:top w:val="none" w:sz="0" w:space="0" w:color="auto"/>
            <w:left w:val="none" w:sz="0" w:space="0" w:color="auto"/>
            <w:bottom w:val="none" w:sz="0" w:space="0" w:color="auto"/>
            <w:right w:val="none" w:sz="0" w:space="0" w:color="auto"/>
          </w:divBdr>
        </w:div>
        <w:div w:id="623580823">
          <w:marLeft w:val="0"/>
          <w:marRight w:val="0"/>
          <w:marTop w:val="0"/>
          <w:marBottom w:val="0"/>
          <w:divBdr>
            <w:top w:val="none" w:sz="0" w:space="0" w:color="auto"/>
            <w:left w:val="none" w:sz="0" w:space="0" w:color="auto"/>
            <w:bottom w:val="none" w:sz="0" w:space="0" w:color="auto"/>
            <w:right w:val="none" w:sz="0" w:space="0" w:color="auto"/>
          </w:divBdr>
        </w:div>
        <w:div w:id="855457603">
          <w:marLeft w:val="0"/>
          <w:marRight w:val="0"/>
          <w:marTop w:val="0"/>
          <w:marBottom w:val="0"/>
          <w:divBdr>
            <w:top w:val="none" w:sz="0" w:space="0" w:color="auto"/>
            <w:left w:val="none" w:sz="0" w:space="0" w:color="auto"/>
            <w:bottom w:val="none" w:sz="0" w:space="0" w:color="auto"/>
            <w:right w:val="none" w:sz="0" w:space="0" w:color="auto"/>
          </w:divBdr>
        </w:div>
        <w:div w:id="377051332">
          <w:marLeft w:val="0"/>
          <w:marRight w:val="0"/>
          <w:marTop w:val="0"/>
          <w:marBottom w:val="0"/>
          <w:divBdr>
            <w:top w:val="none" w:sz="0" w:space="0" w:color="auto"/>
            <w:left w:val="none" w:sz="0" w:space="0" w:color="auto"/>
            <w:bottom w:val="none" w:sz="0" w:space="0" w:color="auto"/>
            <w:right w:val="none" w:sz="0" w:space="0" w:color="auto"/>
          </w:divBdr>
        </w:div>
        <w:div w:id="130363621">
          <w:marLeft w:val="0"/>
          <w:marRight w:val="0"/>
          <w:marTop w:val="0"/>
          <w:marBottom w:val="0"/>
          <w:divBdr>
            <w:top w:val="none" w:sz="0" w:space="0" w:color="auto"/>
            <w:left w:val="none" w:sz="0" w:space="0" w:color="auto"/>
            <w:bottom w:val="none" w:sz="0" w:space="0" w:color="auto"/>
            <w:right w:val="none" w:sz="0" w:space="0" w:color="auto"/>
          </w:divBdr>
        </w:div>
        <w:div w:id="1446653474">
          <w:marLeft w:val="0"/>
          <w:marRight w:val="0"/>
          <w:marTop w:val="0"/>
          <w:marBottom w:val="0"/>
          <w:divBdr>
            <w:top w:val="none" w:sz="0" w:space="0" w:color="auto"/>
            <w:left w:val="none" w:sz="0" w:space="0" w:color="auto"/>
            <w:bottom w:val="none" w:sz="0" w:space="0" w:color="auto"/>
            <w:right w:val="none" w:sz="0" w:space="0" w:color="auto"/>
          </w:divBdr>
        </w:div>
        <w:div w:id="1784688542">
          <w:marLeft w:val="0"/>
          <w:marRight w:val="0"/>
          <w:marTop w:val="0"/>
          <w:marBottom w:val="0"/>
          <w:divBdr>
            <w:top w:val="none" w:sz="0" w:space="0" w:color="auto"/>
            <w:left w:val="none" w:sz="0" w:space="0" w:color="auto"/>
            <w:bottom w:val="none" w:sz="0" w:space="0" w:color="auto"/>
            <w:right w:val="none" w:sz="0" w:space="0" w:color="auto"/>
          </w:divBdr>
        </w:div>
      </w:divsChild>
    </w:div>
    <w:div w:id="1239631074">
      <w:bodyDiv w:val="1"/>
      <w:marLeft w:val="0"/>
      <w:marRight w:val="0"/>
      <w:marTop w:val="0"/>
      <w:marBottom w:val="0"/>
      <w:divBdr>
        <w:top w:val="none" w:sz="0" w:space="0" w:color="auto"/>
        <w:left w:val="none" w:sz="0" w:space="0" w:color="auto"/>
        <w:bottom w:val="none" w:sz="0" w:space="0" w:color="auto"/>
        <w:right w:val="none" w:sz="0" w:space="0" w:color="auto"/>
      </w:divBdr>
      <w:divsChild>
        <w:div w:id="875386435">
          <w:marLeft w:val="0"/>
          <w:marRight w:val="0"/>
          <w:marTop w:val="0"/>
          <w:marBottom w:val="0"/>
          <w:divBdr>
            <w:top w:val="none" w:sz="0" w:space="0" w:color="auto"/>
            <w:left w:val="none" w:sz="0" w:space="0" w:color="auto"/>
            <w:bottom w:val="none" w:sz="0" w:space="0" w:color="auto"/>
            <w:right w:val="none" w:sz="0" w:space="0" w:color="auto"/>
          </w:divBdr>
        </w:div>
        <w:div w:id="1622109977">
          <w:marLeft w:val="0"/>
          <w:marRight w:val="0"/>
          <w:marTop w:val="0"/>
          <w:marBottom w:val="0"/>
          <w:divBdr>
            <w:top w:val="none" w:sz="0" w:space="0" w:color="auto"/>
            <w:left w:val="none" w:sz="0" w:space="0" w:color="auto"/>
            <w:bottom w:val="none" w:sz="0" w:space="0" w:color="auto"/>
            <w:right w:val="none" w:sz="0" w:space="0" w:color="auto"/>
          </w:divBdr>
        </w:div>
        <w:div w:id="1060861705">
          <w:marLeft w:val="0"/>
          <w:marRight w:val="0"/>
          <w:marTop w:val="0"/>
          <w:marBottom w:val="0"/>
          <w:divBdr>
            <w:top w:val="none" w:sz="0" w:space="0" w:color="auto"/>
            <w:left w:val="none" w:sz="0" w:space="0" w:color="auto"/>
            <w:bottom w:val="none" w:sz="0" w:space="0" w:color="auto"/>
            <w:right w:val="none" w:sz="0" w:space="0" w:color="auto"/>
          </w:divBdr>
        </w:div>
      </w:divsChild>
    </w:div>
    <w:div w:id="1280838637">
      <w:bodyDiv w:val="1"/>
      <w:marLeft w:val="0"/>
      <w:marRight w:val="0"/>
      <w:marTop w:val="0"/>
      <w:marBottom w:val="0"/>
      <w:divBdr>
        <w:top w:val="none" w:sz="0" w:space="0" w:color="auto"/>
        <w:left w:val="none" w:sz="0" w:space="0" w:color="auto"/>
        <w:bottom w:val="none" w:sz="0" w:space="0" w:color="auto"/>
        <w:right w:val="none" w:sz="0" w:space="0" w:color="auto"/>
      </w:divBdr>
      <w:divsChild>
        <w:div w:id="623657708">
          <w:marLeft w:val="0"/>
          <w:marRight w:val="0"/>
          <w:marTop w:val="0"/>
          <w:marBottom w:val="0"/>
          <w:divBdr>
            <w:top w:val="none" w:sz="0" w:space="0" w:color="auto"/>
            <w:left w:val="none" w:sz="0" w:space="0" w:color="auto"/>
            <w:bottom w:val="none" w:sz="0" w:space="0" w:color="auto"/>
            <w:right w:val="none" w:sz="0" w:space="0" w:color="auto"/>
          </w:divBdr>
        </w:div>
        <w:div w:id="1769082262">
          <w:marLeft w:val="0"/>
          <w:marRight w:val="0"/>
          <w:marTop w:val="0"/>
          <w:marBottom w:val="0"/>
          <w:divBdr>
            <w:top w:val="none" w:sz="0" w:space="0" w:color="auto"/>
            <w:left w:val="none" w:sz="0" w:space="0" w:color="auto"/>
            <w:bottom w:val="none" w:sz="0" w:space="0" w:color="auto"/>
            <w:right w:val="none" w:sz="0" w:space="0" w:color="auto"/>
          </w:divBdr>
        </w:div>
      </w:divsChild>
    </w:div>
    <w:div w:id="1289824355">
      <w:bodyDiv w:val="1"/>
      <w:marLeft w:val="0"/>
      <w:marRight w:val="0"/>
      <w:marTop w:val="0"/>
      <w:marBottom w:val="0"/>
      <w:divBdr>
        <w:top w:val="none" w:sz="0" w:space="0" w:color="auto"/>
        <w:left w:val="none" w:sz="0" w:space="0" w:color="auto"/>
        <w:bottom w:val="none" w:sz="0" w:space="0" w:color="auto"/>
        <w:right w:val="none" w:sz="0" w:space="0" w:color="auto"/>
      </w:divBdr>
      <w:divsChild>
        <w:div w:id="245727171">
          <w:marLeft w:val="0"/>
          <w:marRight w:val="0"/>
          <w:marTop w:val="0"/>
          <w:marBottom w:val="0"/>
          <w:divBdr>
            <w:top w:val="none" w:sz="0" w:space="0" w:color="auto"/>
            <w:left w:val="none" w:sz="0" w:space="0" w:color="auto"/>
            <w:bottom w:val="none" w:sz="0" w:space="0" w:color="auto"/>
            <w:right w:val="none" w:sz="0" w:space="0" w:color="auto"/>
          </w:divBdr>
        </w:div>
        <w:div w:id="486439448">
          <w:marLeft w:val="0"/>
          <w:marRight w:val="0"/>
          <w:marTop w:val="0"/>
          <w:marBottom w:val="0"/>
          <w:divBdr>
            <w:top w:val="none" w:sz="0" w:space="0" w:color="auto"/>
            <w:left w:val="none" w:sz="0" w:space="0" w:color="auto"/>
            <w:bottom w:val="none" w:sz="0" w:space="0" w:color="auto"/>
            <w:right w:val="none" w:sz="0" w:space="0" w:color="auto"/>
          </w:divBdr>
        </w:div>
        <w:div w:id="702052266">
          <w:marLeft w:val="0"/>
          <w:marRight w:val="0"/>
          <w:marTop w:val="0"/>
          <w:marBottom w:val="0"/>
          <w:divBdr>
            <w:top w:val="none" w:sz="0" w:space="0" w:color="auto"/>
            <w:left w:val="none" w:sz="0" w:space="0" w:color="auto"/>
            <w:bottom w:val="none" w:sz="0" w:space="0" w:color="auto"/>
            <w:right w:val="none" w:sz="0" w:space="0" w:color="auto"/>
          </w:divBdr>
        </w:div>
        <w:div w:id="1525440450">
          <w:marLeft w:val="0"/>
          <w:marRight w:val="0"/>
          <w:marTop w:val="0"/>
          <w:marBottom w:val="0"/>
          <w:divBdr>
            <w:top w:val="none" w:sz="0" w:space="0" w:color="auto"/>
            <w:left w:val="none" w:sz="0" w:space="0" w:color="auto"/>
            <w:bottom w:val="none" w:sz="0" w:space="0" w:color="auto"/>
            <w:right w:val="none" w:sz="0" w:space="0" w:color="auto"/>
          </w:divBdr>
        </w:div>
        <w:div w:id="748843929">
          <w:marLeft w:val="0"/>
          <w:marRight w:val="0"/>
          <w:marTop w:val="0"/>
          <w:marBottom w:val="0"/>
          <w:divBdr>
            <w:top w:val="none" w:sz="0" w:space="0" w:color="auto"/>
            <w:left w:val="none" w:sz="0" w:space="0" w:color="auto"/>
            <w:bottom w:val="none" w:sz="0" w:space="0" w:color="auto"/>
            <w:right w:val="none" w:sz="0" w:space="0" w:color="auto"/>
          </w:divBdr>
        </w:div>
        <w:div w:id="1386874631">
          <w:marLeft w:val="0"/>
          <w:marRight w:val="0"/>
          <w:marTop w:val="0"/>
          <w:marBottom w:val="0"/>
          <w:divBdr>
            <w:top w:val="none" w:sz="0" w:space="0" w:color="auto"/>
            <w:left w:val="none" w:sz="0" w:space="0" w:color="auto"/>
            <w:bottom w:val="none" w:sz="0" w:space="0" w:color="auto"/>
            <w:right w:val="none" w:sz="0" w:space="0" w:color="auto"/>
          </w:divBdr>
        </w:div>
        <w:div w:id="723986747">
          <w:marLeft w:val="0"/>
          <w:marRight w:val="0"/>
          <w:marTop w:val="0"/>
          <w:marBottom w:val="0"/>
          <w:divBdr>
            <w:top w:val="none" w:sz="0" w:space="0" w:color="auto"/>
            <w:left w:val="none" w:sz="0" w:space="0" w:color="auto"/>
            <w:bottom w:val="none" w:sz="0" w:space="0" w:color="auto"/>
            <w:right w:val="none" w:sz="0" w:space="0" w:color="auto"/>
          </w:divBdr>
        </w:div>
      </w:divsChild>
    </w:div>
    <w:div w:id="1290277489">
      <w:bodyDiv w:val="1"/>
      <w:marLeft w:val="0"/>
      <w:marRight w:val="0"/>
      <w:marTop w:val="0"/>
      <w:marBottom w:val="0"/>
      <w:divBdr>
        <w:top w:val="none" w:sz="0" w:space="0" w:color="auto"/>
        <w:left w:val="none" w:sz="0" w:space="0" w:color="auto"/>
        <w:bottom w:val="none" w:sz="0" w:space="0" w:color="auto"/>
        <w:right w:val="none" w:sz="0" w:space="0" w:color="auto"/>
      </w:divBdr>
      <w:divsChild>
        <w:div w:id="1551262183">
          <w:marLeft w:val="0"/>
          <w:marRight w:val="0"/>
          <w:marTop w:val="0"/>
          <w:marBottom w:val="0"/>
          <w:divBdr>
            <w:top w:val="none" w:sz="0" w:space="0" w:color="auto"/>
            <w:left w:val="none" w:sz="0" w:space="0" w:color="auto"/>
            <w:bottom w:val="none" w:sz="0" w:space="0" w:color="auto"/>
            <w:right w:val="none" w:sz="0" w:space="0" w:color="auto"/>
          </w:divBdr>
        </w:div>
        <w:div w:id="1835368111">
          <w:marLeft w:val="0"/>
          <w:marRight w:val="0"/>
          <w:marTop w:val="0"/>
          <w:marBottom w:val="0"/>
          <w:divBdr>
            <w:top w:val="none" w:sz="0" w:space="0" w:color="auto"/>
            <w:left w:val="none" w:sz="0" w:space="0" w:color="auto"/>
            <w:bottom w:val="none" w:sz="0" w:space="0" w:color="auto"/>
            <w:right w:val="none" w:sz="0" w:space="0" w:color="auto"/>
          </w:divBdr>
        </w:div>
        <w:div w:id="929696857">
          <w:marLeft w:val="0"/>
          <w:marRight w:val="0"/>
          <w:marTop w:val="0"/>
          <w:marBottom w:val="0"/>
          <w:divBdr>
            <w:top w:val="none" w:sz="0" w:space="0" w:color="auto"/>
            <w:left w:val="none" w:sz="0" w:space="0" w:color="auto"/>
            <w:bottom w:val="none" w:sz="0" w:space="0" w:color="auto"/>
            <w:right w:val="none" w:sz="0" w:space="0" w:color="auto"/>
          </w:divBdr>
        </w:div>
        <w:div w:id="743141249">
          <w:marLeft w:val="0"/>
          <w:marRight w:val="0"/>
          <w:marTop w:val="0"/>
          <w:marBottom w:val="0"/>
          <w:divBdr>
            <w:top w:val="none" w:sz="0" w:space="0" w:color="auto"/>
            <w:left w:val="none" w:sz="0" w:space="0" w:color="auto"/>
            <w:bottom w:val="none" w:sz="0" w:space="0" w:color="auto"/>
            <w:right w:val="none" w:sz="0" w:space="0" w:color="auto"/>
          </w:divBdr>
        </w:div>
        <w:div w:id="1392927964">
          <w:marLeft w:val="0"/>
          <w:marRight w:val="0"/>
          <w:marTop w:val="0"/>
          <w:marBottom w:val="0"/>
          <w:divBdr>
            <w:top w:val="none" w:sz="0" w:space="0" w:color="auto"/>
            <w:left w:val="none" w:sz="0" w:space="0" w:color="auto"/>
            <w:bottom w:val="none" w:sz="0" w:space="0" w:color="auto"/>
            <w:right w:val="none" w:sz="0" w:space="0" w:color="auto"/>
          </w:divBdr>
        </w:div>
        <w:div w:id="66265483">
          <w:marLeft w:val="0"/>
          <w:marRight w:val="0"/>
          <w:marTop w:val="0"/>
          <w:marBottom w:val="0"/>
          <w:divBdr>
            <w:top w:val="none" w:sz="0" w:space="0" w:color="auto"/>
            <w:left w:val="none" w:sz="0" w:space="0" w:color="auto"/>
            <w:bottom w:val="none" w:sz="0" w:space="0" w:color="auto"/>
            <w:right w:val="none" w:sz="0" w:space="0" w:color="auto"/>
          </w:divBdr>
        </w:div>
        <w:div w:id="1544363097">
          <w:marLeft w:val="0"/>
          <w:marRight w:val="0"/>
          <w:marTop w:val="0"/>
          <w:marBottom w:val="0"/>
          <w:divBdr>
            <w:top w:val="none" w:sz="0" w:space="0" w:color="auto"/>
            <w:left w:val="none" w:sz="0" w:space="0" w:color="auto"/>
            <w:bottom w:val="none" w:sz="0" w:space="0" w:color="auto"/>
            <w:right w:val="none" w:sz="0" w:space="0" w:color="auto"/>
          </w:divBdr>
        </w:div>
        <w:div w:id="49307677">
          <w:marLeft w:val="0"/>
          <w:marRight w:val="0"/>
          <w:marTop w:val="0"/>
          <w:marBottom w:val="0"/>
          <w:divBdr>
            <w:top w:val="none" w:sz="0" w:space="0" w:color="auto"/>
            <w:left w:val="none" w:sz="0" w:space="0" w:color="auto"/>
            <w:bottom w:val="none" w:sz="0" w:space="0" w:color="auto"/>
            <w:right w:val="none" w:sz="0" w:space="0" w:color="auto"/>
          </w:divBdr>
        </w:div>
        <w:div w:id="1294140468">
          <w:marLeft w:val="0"/>
          <w:marRight w:val="0"/>
          <w:marTop w:val="0"/>
          <w:marBottom w:val="0"/>
          <w:divBdr>
            <w:top w:val="none" w:sz="0" w:space="0" w:color="auto"/>
            <w:left w:val="none" w:sz="0" w:space="0" w:color="auto"/>
            <w:bottom w:val="none" w:sz="0" w:space="0" w:color="auto"/>
            <w:right w:val="none" w:sz="0" w:space="0" w:color="auto"/>
          </w:divBdr>
        </w:div>
        <w:div w:id="1490751084">
          <w:marLeft w:val="0"/>
          <w:marRight w:val="0"/>
          <w:marTop w:val="0"/>
          <w:marBottom w:val="0"/>
          <w:divBdr>
            <w:top w:val="none" w:sz="0" w:space="0" w:color="auto"/>
            <w:left w:val="none" w:sz="0" w:space="0" w:color="auto"/>
            <w:bottom w:val="none" w:sz="0" w:space="0" w:color="auto"/>
            <w:right w:val="none" w:sz="0" w:space="0" w:color="auto"/>
          </w:divBdr>
        </w:div>
        <w:div w:id="1170293611">
          <w:marLeft w:val="0"/>
          <w:marRight w:val="0"/>
          <w:marTop w:val="0"/>
          <w:marBottom w:val="0"/>
          <w:divBdr>
            <w:top w:val="none" w:sz="0" w:space="0" w:color="auto"/>
            <w:left w:val="none" w:sz="0" w:space="0" w:color="auto"/>
            <w:bottom w:val="none" w:sz="0" w:space="0" w:color="auto"/>
            <w:right w:val="none" w:sz="0" w:space="0" w:color="auto"/>
          </w:divBdr>
        </w:div>
        <w:div w:id="2143961027">
          <w:marLeft w:val="0"/>
          <w:marRight w:val="0"/>
          <w:marTop w:val="0"/>
          <w:marBottom w:val="0"/>
          <w:divBdr>
            <w:top w:val="none" w:sz="0" w:space="0" w:color="auto"/>
            <w:left w:val="none" w:sz="0" w:space="0" w:color="auto"/>
            <w:bottom w:val="none" w:sz="0" w:space="0" w:color="auto"/>
            <w:right w:val="none" w:sz="0" w:space="0" w:color="auto"/>
          </w:divBdr>
        </w:div>
        <w:div w:id="636764727">
          <w:marLeft w:val="0"/>
          <w:marRight w:val="0"/>
          <w:marTop w:val="0"/>
          <w:marBottom w:val="0"/>
          <w:divBdr>
            <w:top w:val="none" w:sz="0" w:space="0" w:color="auto"/>
            <w:left w:val="none" w:sz="0" w:space="0" w:color="auto"/>
            <w:bottom w:val="none" w:sz="0" w:space="0" w:color="auto"/>
            <w:right w:val="none" w:sz="0" w:space="0" w:color="auto"/>
          </w:divBdr>
        </w:div>
      </w:divsChild>
    </w:div>
    <w:div w:id="1306548470">
      <w:bodyDiv w:val="1"/>
      <w:marLeft w:val="0"/>
      <w:marRight w:val="0"/>
      <w:marTop w:val="0"/>
      <w:marBottom w:val="0"/>
      <w:divBdr>
        <w:top w:val="none" w:sz="0" w:space="0" w:color="auto"/>
        <w:left w:val="none" w:sz="0" w:space="0" w:color="auto"/>
        <w:bottom w:val="none" w:sz="0" w:space="0" w:color="auto"/>
        <w:right w:val="none" w:sz="0" w:space="0" w:color="auto"/>
      </w:divBdr>
    </w:div>
    <w:div w:id="1350449550">
      <w:bodyDiv w:val="1"/>
      <w:marLeft w:val="0"/>
      <w:marRight w:val="0"/>
      <w:marTop w:val="0"/>
      <w:marBottom w:val="0"/>
      <w:divBdr>
        <w:top w:val="none" w:sz="0" w:space="0" w:color="auto"/>
        <w:left w:val="none" w:sz="0" w:space="0" w:color="auto"/>
        <w:bottom w:val="none" w:sz="0" w:space="0" w:color="auto"/>
        <w:right w:val="none" w:sz="0" w:space="0" w:color="auto"/>
      </w:divBdr>
      <w:divsChild>
        <w:div w:id="263658092">
          <w:marLeft w:val="0"/>
          <w:marRight w:val="0"/>
          <w:marTop w:val="0"/>
          <w:marBottom w:val="0"/>
          <w:divBdr>
            <w:top w:val="none" w:sz="0" w:space="0" w:color="auto"/>
            <w:left w:val="none" w:sz="0" w:space="0" w:color="auto"/>
            <w:bottom w:val="none" w:sz="0" w:space="0" w:color="auto"/>
            <w:right w:val="none" w:sz="0" w:space="0" w:color="auto"/>
          </w:divBdr>
        </w:div>
        <w:div w:id="1032729381">
          <w:marLeft w:val="0"/>
          <w:marRight w:val="0"/>
          <w:marTop w:val="0"/>
          <w:marBottom w:val="0"/>
          <w:divBdr>
            <w:top w:val="none" w:sz="0" w:space="0" w:color="auto"/>
            <w:left w:val="none" w:sz="0" w:space="0" w:color="auto"/>
            <w:bottom w:val="none" w:sz="0" w:space="0" w:color="auto"/>
            <w:right w:val="none" w:sz="0" w:space="0" w:color="auto"/>
          </w:divBdr>
        </w:div>
        <w:div w:id="770859814">
          <w:marLeft w:val="0"/>
          <w:marRight w:val="0"/>
          <w:marTop w:val="0"/>
          <w:marBottom w:val="0"/>
          <w:divBdr>
            <w:top w:val="none" w:sz="0" w:space="0" w:color="auto"/>
            <w:left w:val="none" w:sz="0" w:space="0" w:color="auto"/>
            <w:bottom w:val="none" w:sz="0" w:space="0" w:color="auto"/>
            <w:right w:val="none" w:sz="0" w:space="0" w:color="auto"/>
          </w:divBdr>
        </w:div>
      </w:divsChild>
    </w:div>
    <w:div w:id="1373530954">
      <w:bodyDiv w:val="1"/>
      <w:marLeft w:val="0"/>
      <w:marRight w:val="0"/>
      <w:marTop w:val="0"/>
      <w:marBottom w:val="0"/>
      <w:divBdr>
        <w:top w:val="none" w:sz="0" w:space="0" w:color="auto"/>
        <w:left w:val="none" w:sz="0" w:space="0" w:color="auto"/>
        <w:bottom w:val="none" w:sz="0" w:space="0" w:color="auto"/>
        <w:right w:val="none" w:sz="0" w:space="0" w:color="auto"/>
      </w:divBdr>
      <w:divsChild>
        <w:div w:id="343360181">
          <w:marLeft w:val="0"/>
          <w:marRight w:val="0"/>
          <w:marTop w:val="0"/>
          <w:marBottom w:val="0"/>
          <w:divBdr>
            <w:top w:val="none" w:sz="0" w:space="0" w:color="auto"/>
            <w:left w:val="none" w:sz="0" w:space="0" w:color="auto"/>
            <w:bottom w:val="none" w:sz="0" w:space="0" w:color="auto"/>
            <w:right w:val="none" w:sz="0" w:space="0" w:color="auto"/>
          </w:divBdr>
        </w:div>
        <w:div w:id="1041783335">
          <w:marLeft w:val="0"/>
          <w:marRight w:val="0"/>
          <w:marTop w:val="0"/>
          <w:marBottom w:val="0"/>
          <w:divBdr>
            <w:top w:val="none" w:sz="0" w:space="0" w:color="auto"/>
            <w:left w:val="none" w:sz="0" w:space="0" w:color="auto"/>
            <w:bottom w:val="none" w:sz="0" w:space="0" w:color="auto"/>
            <w:right w:val="none" w:sz="0" w:space="0" w:color="auto"/>
          </w:divBdr>
        </w:div>
        <w:div w:id="697849647">
          <w:marLeft w:val="0"/>
          <w:marRight w:val="0"/>
          <w:marTop w:val="0"/>
          <w:marBottom w:val="0"/>
          <w:divBdr>
            <w:top w:val="none" w:sz="0" w:space="0" w:color="auto"/>
            <w:left w:val="none" w:sz="0" w:space="0" w:color="auto"/>
            <w:bottom w:val="none" w:sz="0" w:space="0" w:color="auto"/>
            <w:right w:val="none" w:sz="0" w:space="0" w:color="auto"/>
          </w:divBdr>
        </w:div>
        <w:div w:id="1032807570">
          <w:marLeft w:val="0"/>
          <w:marRight w:val="0"/>
          <w:marTop w:val="0"/>
          <w:marBottom w:val="0"/>
          <w:divBdr>
            <w:top w:val="none" w:sz="0" w:space="0" w:color="auto"/>
            <w:left w:val="none" w:sz="0" w:space="0" w:color="auto"/>
            <w:bottom w:val="none" w:sz="0" w:space="0" w:color="auto"/>
            <w:right w:val="none" w:sz="0" w:space="0" w:color="auto"/>
          </w:divBdr>
        </w:div>
      </w:divsChild>
    </w:div>
    <w:div w:id="1379623819">
      <w:bodyDiv w:val="1"/>
      <w:marLeft w:val="0"/>
      <w:marRight w:val="0"/>
      <w:marTop w:val="0"/>
      <w:marBottom w:val="0"/>
      <w:divBdr>
        <w:top w:val="none" w:sz="0" w:space="0" w:color="auto"/>
        <w:left w:val="none" w:sz="0" w:space="0" w:color="auto"/>
        <w:bottom w:val="none" w:sz="0" w:space="0" w:color="auto"/>
        <w:right w:val="none" w:sz="0" w:space="0" w:color="auto"/>
      </w:divBdr>
    </w:div>
    <w:div w:id="1461414419">
      <w:bodyDiv w:val="1"/>
      <w:marLeft w:val="0"/>
      <w:marRight w:val="0"/>
      <w:marTop w:val="0"/>
      <w:marBottom w:val="0"/>
      <w:divBdr>
        <w:top w:val="none" w:sz="0" w:space="0" w:color="auto"/>
        <w:left w:val="none" w:sz="0" w:space="0" w:color="auto"/>
        <w:bottom w:val="none" w:sz="0" w:space="0" w:color="auto"/>
        <w:right w:val="none" w:sz="0" w:space="0" w:color="auto"/>
      </w:divBdr>
      <w:divsChild>
        <w:div w:id="332950381">
          <w:marLeft w:val="0"/>
          <w:marRight w:val="0"/>
          <w:marTop w:val="0"/>
          <w:marBottom w:val="0"/>
          <w:divBdr>
            <w:top w:val="none" w:sz="0" w:space="0" w:color="auto"/>
            <w:left w:val="none" w:sz="0" w:space="0" w:color="auto"/>
            <w:bottom w:val="none" w:sz="0" w:space="0" w:color="auto"/>
            <w:right w:val="none" w:sz="0" w:space="0" w:color="auto"/>
          </w:divBdr>
        </w:div>
      </w:divsChild>
    </w:div>
    <w:div w:id="1544827626">
      <w:bodyDiv w:val="1"/>
      <w:marLeft w:val="0"/>
      <w:marRight w:val="0"/>
      <w:marTop w:val="0"/>
      <w:marBottom w:val="0"/>
      <w:divBdr>
        <w:top w:val="none" w:sz="0" w:space="0" w:color="auto"/>
        <w:left w:val="none" w:sz="0" w:space="0" w:color="auto"/>
        <w:bottom w:val="none" w:sz="0" w:space="0" w:color="auto"/>
        <w:right w:val="none" w:sz="0" w:space="0" w:color="auto"/>
      </w:divBdr>
      <w:divsChild>
        <w:div w:id="588999523">
          <w:marLeft w:val="0"/>
          <w:marRight w:val="0"/>
          <w:marTop w:val="0"/>
          <w:marBottom w:val="0"/>
          <w:divBdr>
            <w:top w:val="none" w:sz="0" w:space="0" w:color="auto"/>
            <w:left w:val="none" w:sz="0" w:space="0" w:color="auto"/>
            <w:bottom w:val="none" w:sz="0" w:space="0" w:color="auto"/>
            <w:right w:val="none" w:sz="0" w:space="0" w:color="auto"/>
          </w:divBdr>
        </w:div>
        <w:div w:id="1604917563">
          <w:marLeft w:val="0"/>
          <w:marRight w:val="0"/>
          <w:marTop w:val="0"/>
          <w:marBottom w:val="0"/>
          <w:divBdr>
            <w:top w:val="none" w:sz="0" w:space="0" w:color="auto"/>
            <w:left w:val="none" w:sz="0" w:space="0" w:color="auto"/>
            <w:bottom w:val="none" w:sz="0" w:space="0" w:color="auto"/>
            <w:right w:val="none" w:sz="0" w:space="0" w:color="auto"/>
          </w:divBdr>
        </w:div>
        <w:div w:id="181357046">
          <w:marLeft w:val="0"/>
          <w:marRight w:val="0"/>
          <w:marTop w:val="0"/>
          <w:marBottom w:val="0"/>
          <w:divBdr>
            <w:top w:val="none" w:sz="0" w:space="0" w:color="auto"/>
            <w:left w:val="none" w:sz="0" w:space="0" w:color="auto"/>
            <w:bottom w:val="none" w:sz="0" w:space="0" w:color="auto"/>
            <w:right w:val="none" w:sz="0" w:space="0" w:color="auto"/>
          </w:divBdr>
        </w:div>
        <w:div w:id="1050066">
          <w:marLeft w:val="0"/>
          <w:marRight w:val="0"/>
          <w:marTop w:val="0"/>
          <w:marBottom w:val="0"/>
          <w:divBdr>
            <w:top w:val="none" w:sz="0" w:space="0" w:color="auto"/>
            <w:left w:val="none" w:sz="0" w:space="0" w:color="auto"/>
            <w:bottom w:val="none" w:sz="0" w:space="0" w:color="auto"/>
            <w:right w:val="none" w:sz="0" w:space="0" w:color="auto"/>
          </w:divBdr>
        </w:div>
        <w:div w:id="1211070462">
          <w:marLeft w:val="0"/>
          <w:marRight w:val="0"/>
          <w:marTop w:val="0"/>
          <w:marBottom w:val="0"/>
          <w:divBdr>
            <w:top w:val="none" w:sz="0" w:space="0" w:color="auto"/>
            <w:left w:val="none" w:sz="0" w:space="0" w:color="auto"/>
            <w:bottom w:val="none" w:sz="0" w:space="0" w:color="auto"/>
            <w:right w:val="none" w:sz="0" w:space="0" w:color="auto"/>
          </w:divBdr>
        </w:div>
        <w:div w:id="136722530">
          <w:marLeft w:val="0"/>
          <w:marRight w:val="0"/>
          <w:marTop w:val="0"/>
          <w:marBottom w:val="0"/>
          <w:divBdr>
            <w:top w:val="none" w:sz="0" w:space="0" w:color="auto"/>
            <w:left w:val="none" w:sz="0" w:space="0" w:color="auto"/>
            <w:bottom w:val="none" w:sz="0" w:space="0" w:color="auto"/>
            <w:right w:val="none" w:sz="0" w:space="0" w:color="auto"/>
          </w:divBdr>
        </w:div>
        <w:div w:id="781463260">
          <w:marLeft w:val="0"/>
          <w:marRight w:val="0"/>
          <w:marTop w:val="0"/>
          <w:marBottom w:val="0"/>
          <w:divBdr>
            <w:top w:val="none" w:sz="0" w:space="0" w:color="auto"/>
            <w:left w:val="none" w:sz="0" w:space="0" w:color="auto"/>
            <w:bottom w:val="none" w:sz="0" w:space="0" w:color="auto"/>
            <w:right w:val="none" w:sz="0" w:space="0" w:color="auto"/>
          </w:divBdr>
        </w:div>
        <w:div w:id="1457604917">
          <w:marLeft w:val="0"/>
          <w:marRight w:val="0"/>
          <w:marTop w:val="0"/>
          <w:marBottom w:val="0"/>
          <w:divBdr>
            <w:top w:val="none" w:sz="0" w:space="0" w:color="auto"/>
            <w:left w:val="none" w:sz="0" w:space="0" w:color="auto"/>
            <w:bottom w:val="none" w:sz="0" w:space="0" w:color="auto"/>
            <w:right w:val="none" w:sz="0" w:space="0" w:color="auto"/>
          </w:divBdr>
        </w:div>
        <w:div w:id="69087410">
          <w:marLeft w:val="0"/>
          <w:marRight w:val="0"/>
          <w:marTop w:val="0"/>
          <w:marBottom w:val="0"/>
          <w:divBdr>
            <w:top w:val="none" w:sz="0" w:space="0" w:color="auto"/>
            <w:left w:val="none" w:sz="0" w:space="0" w:color="auto"/>
            <w:bottom w:val="none" w:sz="0" w:space="0" w:color="auto"/>
            <w:right w:val="none" w:sz="0" w:space="0" w:color="auto"/>
          </w:divBdr>
        </w:div>
        <w:div w:id="860555484">
          <w:marLeft w:val="0"/>
          <w:marRight w:val="0"/>
          <w:marTop w:val="0"/>
          <w:marBottom w:val="0"/>
          <w:divBdr>
            <w:top w:val="none" w:sz="0" w:space="0" w:color="auto"/>
            <w:left w:val="none" w:sz="0" w:space="0" w:color="auto"/>
            <w:bottom w:val="none" w:sz="0" w:space="0" w:color="auto"/>
            <w:right w:val="none" w:sz="0" w:space="0" w:color="auto"/>
          </w:divBdr>
        </w:div>
      </w:divsChild>
    </w:div>
    <w:div w:id="1567689708">
      <w:bodyDiv w:val="1"/>
      <w:marLeft w:val="0"/>
      <w:marRight w:val="0"/>
      <w:marTop w:val="0"/>
      <w:marBottom w:val="0"/>
      <w:divBdr>
        <w:top w:val="none" w:sz="0" w:space="0" w:color="auto"/>
        <w:left w:val="none" w:sz="0" w:space="0" w:color="auto"/>
        <w:bottom w:val="none" w:sz="0" w:space="0" w:color="auto"/>
        <w:right w:val="none" w:sz="0" w:space="0" w:color="auto"/>
      </w:divBdr>
      <w:divsChild>
        <w:div w:id="1924609017">
          <w:marLeft w:val="0"/>
          <w:marRight w:val="0"/>
          <w:marTop w:val="0"/>
          <w:marBottom w:val="0"/>
          <w:divBdr>
            <w:top w:val="none" w:sz="0" w:space="0" w:color="auto"/>
            <w:left w:val="none" w:sz="0" w:space="0" w:color="auto"/>
            <w:bottom w:val="none" w:sz="0" w:space="0" w:color="auto"/>
            <w:right w:val="none" w:sz="0" w:space="0" w:color="auto"/>
          </w:divBdr>
        </w:div>
      </w:divsChild>
    </w:div>
    <w:div w:id="1583224580">
      <w:bodyDiv w:val="1"/>
      <w:marLeft w:val="0"/>
      <w:marRight w:val="0"/>
      <w:marTop w:val="0"/>
      <w:marBottom w:val="0"/>
      <w:divBdr>
        <w:top w:val="none" w:sz="0" w:space="0" w:color="auto"/>
        <w:left w:val="none" w:sz="0" w:space="0" w:color="auto"/>
        <w:bottom w:val="none" w:sz="0" w:space="0" w:color="auto"/>
        <w:right w:val="none" w:sz="0" w:space="0" w:color="auto"/>
      </w:divBdr>
    </w:div>
    <w:div w:id="1627159322">
      <w:bodyDiv w:val="1"/>
      <w:marLeft w:val="0"/>
      <w:marRight w:val="0"/>
      <w:marTop w:val="0"/>
      <w:marBottom w:val="0"/>
      <w:divBdr>
        <w:top w:val="none" w:sz="0" w:space="0" w:color="auto"/>
        <w:left w:val="none" w:sz="0" w:space="0" w:color="auto"/>
        <w:bottom w:val="none" w:sz="0" w:space="0" w:color="auto"/>
        <w:right w:val="none" w:sz="0" w:space="0" w:color="auto"/>
      </w:divBdr>
      <w:divsChild>
        <w:div w:id="1282498310">
          <w:marLeft w:val="0"/>
          <w:marRight w:val="0"/>
          <w:marTop w:val="0"/>
          <w:marBottom w:val="0"/>
          <w:divBdr>
            <w:top w:val="none" w:sz="0" w:space="0" w:color="auto"/>
            <w:left w:val="none" w:sz="0" w:space="0" w:color="auto"/>
            <w:bottom w:val="none" w:sz="0" w:space="0" w:color="auto"/>
            <w:right w:val="none" w:sz="0" w:space="0" w:color="auto"/>
          </w:divBdr>
        </w:div>
        <w:div w:id="335151250">
          <w:marLeft w:val="0"/>
          <w:marRight w:val="0"/>
          <w:marTop w:val="0"/>
          <w:marBottom w:val="0"/>
          <w:divBdr>
            <w:top w:val="none" w:sz="0" w:space="0" w:color="auto"/>
            <w:left w:val="none" w:sz="0" w:space="0" w:color="auto"/>
            <w:bottom w:val="none" w:sz="0" w:space="0" w:color="auto"/>
            <w:right w:val="none" w:sz="0" w:space="0" w:color="auto"/>
          </w:divBdr>
        </w:div>
        <w:div w:id="2020304328">
          <w:marLeft w:val="0"/>
          <w:marRight w:val="0"/>
          <w:marTop w:val="0"/>
          <w:marBottom w:val="0"/>
          <w:divBdr>
            <w:top w:val="none" w:sz="0" w:space="0" w:color="auto"/>
            <w:left w:val="none" w:sz="0" w:space="0" w:color="auto"/>
            <w:bottom w:val="none" w:sz="0" w:space="0" w:color="auto"/>
            <w:right w:val="none" w:sz="0" w:space="0" w:color="auto"/>
          </w:divBdr>
        </w:div>
        <w:div w:id="1178540420">
          <w:marLeft w:val="0"/>
          <w:marRight w:val="0"/>
          <w:marTop w:val="0"/>
          <w:marBottom w:val="0"/>
          <w:divBdr>
            <w:top w:val="none" w:sz="0" w:space="0" w:color="auto"/>
            <w:left w:val="none" w:sz="0" w:space="0" w:color="auto"/>
            <w:bottom w:val="none" w:sz="0" w:space="0" w:color="auto"/>
            <w:right w:val="none" w:sz="0" w:space="0" w:color="auto"/>
          </w:divBdr>
        </w:div>
      </w:divsChild>
    </w:div>
    <w:div w:id="1664310086">
      <w:bodyDiv w:val="1"/>
      <w:marLeft w:val="0"/>
      <w:marRight w:val="0"/>
      <w:marTop w:val="0"/>
      <w:marBottom w:val="0"/>
      <w:divBdr>
        <w:top w:val="none" w:sz="0" w:space="0" w:color="auto"/>
        <w:left w:val="none" w:sz="0" w:space="0" w:color="auto"/>
        <w:bottom w:val="none" w:sz="0" w:space="0" w:color="auto"/>
        <w:right w:val="none" w:sz="0" w:space="0" w:color="auto"/>
      </w:divBdr>
    </w:div>
    <w:div w:id="1714230898">
      <w:bodyDiv w:val="1"/>
      <w:marLeft w:val="0"/>
      <w:marRight w:val="0"/>
      <w:marTop w:val="0"/>
      <w:marBottom w:val="0"/>
      <w:divBdr>
        <w:top w:val="none" w:sz="0" w:space="0" w:color="auto"/>
        <w:left w:val="none" w:sz="0" w:space="0" w:color="auto"/>
        <w:bottom w:val="none" w:sz="0" w:space="0" w:color="auto"/>
        <w:right w:val="none" w:sz="0" w:space="0" w:color="auto"/>
      </w:divBdr>
      <w:divsChild>
        <w:div w:id="1918200281">
          <w:marLeft w:val="0"/>
          <w:marRight w:val="0"/>
          <w:marTop w:val="0"/>
          <w:marBottom w:val="0"/>
          <w:divBdr>
            <w:top w:val="none" w:sz="0" w:space="0" w:color="auto"/>
            <w:left w:val="none" w:sz="0" w:space="0" w:color="auto"/>
            <w:bottom w:val="none" w:sz="0" w:space="0" w:color="auto"/>
            <w:right w:val="none" w:sz="0" w:space="0" w:color="auto"/>
          </w:divBdr>
        </w:div>
        <w:div w:id="1573546382">
          <w:marLeft w:val="0"/>
          <w:marRight w:val="0"/>
          <w:marTop w:val="0"/>
          <w:marBottom w:val="0"/>
          <w:divBdr>
            <w:top w:val="none" w:sz="0" w:space="0" w:color="auto"/>
            <w:left w:val="none" w:sz="0" w:space="0" w:color="auto"/>
            <w:bottom w:val="none" w:sz="0" w:space="0" w:color="auto"/>
            <w:right w:val="none" w:sz="0" w:space="0" w:color="auto"/>
          </w:divBdr>
        </w:div>
        <w:div w:id="631250967">
          <w:marLeft w:val="0"/>
          <w:marRight w:val="0"/>
          <w:marTop w:val="0"/>
          <w:marBottom w:val="0"/>
          <w:divBdr>
            <w:top w:val="none" w:sz="0" w:space="0" w:color="auto"/>
            <w:left w:val="none" w:sz="0" w:space="0" w:color="auto"/>
            <w:bottom w:val="none" w:sz="0" w:space="0" w:color="auto"/>
            <w:right w:val="none" w:sz="0" w:space="0" w:color="auto"/>
          </w:divBdr>
        </w:div>
        <w:div w:id="588588464">
          <w:marLeft w:val="0"/>
          <w:marRight w:val="0"/>
          <w:marTop w:val="0"/>
          <w:marBottom w:val="0"/>
          <w:divBdr>
            <w:top w:val="none" w:sz="0" w:space="0" w:color="auto"/>
            <w:left w:val="none" w:sz="0" w:space="0" w:color="auto"/>
            <w:bottom w:val="none" w:sz="0" w:space="0" w:color="auto"/>
            <w:right w:val="none" w:sz="0" w:space="0" w:color="auto"/>
          </w:divBdr>
        </w:div>
      </w:divsChild>
    </w:div>
    <w:div w:id="1719159655">
      <w:bodyDiv w:val="1"/>
      <w:marLeft w:val="0"/>
      <w:marRight w:val="0"/>
      <w:marTop w:val="0"/>
      <w:marBottom w:val="0"/>
      <w:divBdr>
        <w:top w:val="none" w:sz="0" w:space="0" w:color="auto"/>
        <w:left w:val="none" w:sz="0" w:space="0" w:color="auto"/>
        <w:bottom w:val="none" w:sz="0" w:space="0" w:color="auto"/>
        <w:right w:val="none" w:sz="0" w:space="0" w:color="auto"/>
      </w:divBdr>
      <w:divsChild>
        <w:div w:id="1849632328">
          <w:marLeft w:val="0"/>
          <w:marRight w:val="0"/>
          <w:marTop w:val="0"/>
          <w:marBottom w:val="0"/>
          <w:divBdr>
            <w:top w:val="none" w:sz="0" w:space="0" w:color="auto"/>
            <w:left w:val="none" w:sz="0" w:space="0" w:color="auto"/>
            <w:bottom w:val="none" w:sz="0" w:space="0" w:color="auto"/>
            <w:right w:val="none" w:sz="0" w:space="0" w:color="auto"/>
          </w:divBdr>
        </w:div>
        <w:div w:id="970210447">
          <w:marLeft w:val="0"/>
          <w:marRight w:val="0"/>
          <w:marTop w:val="0"/>
          <w:marBottom w:val="0"/>
          <w:divBdr>
            <w:top w:val="none" w:sz="0" w:space="0" w:color="auto"/>
            <w:left w:val="none" w:sz="0" w:space="0" w:color="auto"/>
            <w:bottom w:val="none" w:sz="0" w:space="0" w:color="auto"/>
            <w:right w:val="none" w:sz="0" w:space="0" w:color="auto"/>
          </w:divBdr>
        </w:div>
        <w:div w:id="1280573446">
          <w:marLeft w:val="0"/>
          <w:marRight w:val="0"/>
          <w:marTop w:val="0"/>
          <w:marBottom w:val="0"/>
          <w:divBdr>
            <w:top w:val="none" w:sz="0" w:space="0" w:color="auto"/>
            <w:left w:val="none" w:sz="0" w:space="0" w:color="auto"/>
            <w:bottom w:val="none" w:sz="0" w:space="0" w:color="auto"/>
            <w:right w:val="none" w:sz="0" w:space="0" w:color="auto"/>
          </w:divBdr>
        </w:div>
      </w:divsChild>
    </w:div>
    <w:div w:id="1832327090">
      <w:bodyDiv w:val="1"/>
      <w:marLeft w:val="0"/>
      <w:marRight w:val="0"/>
      <w:marTop w:val="0"/>
      <w:marBottom w:val="0"/>
      <w:divBdr>
        <w:top w:val="none" w:sz="0" w:space="0" w:color="auto"/>
        <w:left w:val="none" w:sz="0" w:space="0" w:color="auto"/>
        <w:bottom w:val="none" w:sz="0" w:space="0" w:color="auto"/>
        <w:right w:val="none" w:sz="0" w:space="0" w:color="auto"/>
      </w:divBdr>
    </w:div>
    <w:div w:id="1873835367">
      <w:bodyDiv w:val="1"/>
      <w:marLeft w:val="0"/>
      <w:marRight w:val="0"/>
      <w:marTop w:val="0"/>
      <w:marBottom w:val="0"/>
      <w:divBdr>
        <w:top w:val="none" w:sz="0" w:space="0" w:color="auto"/>
        <w:left w:val="none" w:sz="0" w:space="0" w:color="auto"/>
        <w:bottom w:val="none" w:sz="0" w:space="0" w:color="auto"/>
        <w:right w:val="none" w:sz="0" w:space="0" w:color="auto"/>
      </w:divBdr>
      <w:divsChild>
        <w:div w:id="1435132490">
          <w:marLeft w:val="0"/>
          <w:marRight w:val="0"/>
          <w:marTop w:val="0"/>
          <w:marBottom w:val="0"/>
          <w:divBdr>
            <w:top w:val="none" w:sz="0" w:space="0" w:color="auto"/>
            <w:left w:val="none" w:sz="0" w:space="0" w:color="auto"/>
            <w:bottom w:val="none" w:sz="0" w:space="0" w:color="auto"/>
            <w:right w:val="none" w:sz="0" w:space="0" w:color="auto"/>
          </w:divBdr>
        </w:div>
        <w:div w:id="1235818903">
          <w:marLeft w:val="0"/>
          <w:marRight w:val="0"/>
          <w:marTop w:val="0"/>
          <w:marBottom w:val="0"/>
          <w:divBdr>
            <w:top w:val="none" w:sz="0" w:space="0" w:color="auto"/>
            <w:left w:val="none" w:sz="0" w:space="0" w:color="auto"/>
            <w:bottom w:val="none" w:sz="0" w:space="0" w:color="auto"/>
            <w:right w:val="none" w:sz="0" w:space="0" w:color="auto"/>
          </w:divBdr>
        </w:div>
        <w:div w:id="1229267399">
          <w:marLeft w:val="0"/>
          <w:marRight w:val="0"/>
          <w:marTop w:val="0"/>
          <w:marBottom w:val="0"/>
          <w:divBdr>
            <w:top w:val="none" w:sz="0" w:space="0" w:color="auto"/>
            <w:left w:val="none" w:sz="0" w:space="0" w:color="auto"/>
            <w:bottom w:val="none" w:sz="0" w:space="0" w:color="auto"/>
            <w:right w:val="none" w:sz="0" w:space="0" w:color="auto"/>
          </w:divBdr>
        </w:div>
      </w:divsChild>
    </w:div>
    <w:div w:id="1883595929">
      <w:bodyDiv w:val="1"/>
      <w:marLeft w:val="0"/>
      <w:marRight w:val="0"/>
      <w:marTop w:val="0"/>
      <w:marBottom w:val="0"/>
      <w:divBdr>
        <w:top w:val="none" w:sz="0" w:space="0" w:color="auto"/>
        <w:left w:val="none" w:sz="0" w:space="0" w:color="auto"/>
        <w:bottom w:val="none" w:sz="0" w:space="0" w:color="auto"/>
        <w:right w:val="none" w:sz="0" w:space="0" w:color="auto"/>
      </w:divBdr>
    </w:div>
    <w:div w:id="1886410631">
      <w:bodyDiv w:val="1"/>
      <w:marLeft w:val="0"/>
      <w:marRight w:val="0"/>
      <w:marTop w:val="0"/>
      <w:marBottom w:val="0"/>
      <w:divBdr>
        <w:top w:val="none" w:sz="0" w:space="0" w:color="auto"/>
        <w:left w:val="none" w:sz="0" w:space="0" w:color="auto"/>
        <w:bottom w:val="none" w:sz="0" w:space="0" w:color="auto"/>
        <w:right w:val="none" w:sz="0" w:space="0" w:color="auto"/>
      </w:divBdr>
    </w:div>
    <w:div w:id="1926068397">
      <w:bodyDiv w:val="1"/>
      <w:marLeft w:val="0"/>
      <w:marRight w:val="0"/>
      <w:marTop w:val="0"/>
      <w:marBottom w:val="0"/>
      <w:divBdr>
        <w:top w:val="none" w:sz="0" w:space="0" w:color="auto"/>
        <w:left w:val="none" w:sz="0" w:space="0" w:color="auto"/>
        <w:bottom w:val="none" w:sz="0" w:space="0" w:color="auto"/>
        <w:right w:val="none" w:sz="0" w:space="0" w:color="auto"/>
      </w:divBdr>
    </w:div>
    <w:div w:id="1998916472">
      <w:bodyDiv w:val="1"/>
      <w:marLeft w:val="0"/>
      <w:marRight w:val="0"/>
      <w:marTop w:val="0"/>
      <w:marBottom w:val="0"/>
      <w:divBdr>
        <w:top w:val="none" w:sz="0" w:space="0" w:color="auto"/>
        <w:left w:val="none" w:sz="0" w:space="0" w:color="auto"/>
        <w:bottom w:val="none" w:sz="0" w:space="0" w:color="auto"/>
        <w:right w:val="none" w:sz="0" w:space="0" w:color="auto"/>
      </w:divBdr>
      <w:divsChild>
        <w:div w:id="2015565361">
          <w:marLeft w:val="0"/>
          <w:marRight w:val="0"/>
          <w:marTop w:val="0"/>
          <w:marBottom w:val="0"/>
          <w:divBdr>
            <w:top w:val="none" w:sz="0" w:space="0" w:color="auto"/>
            <w:left w:val="none" w:sz="0" w:space="0" w:color="auto"/>
            <w:bottom w:val="none" w:sz="0" w:space="0" w:color="auto"/>
            <w:right w:val="none" w:sz="0" w:space="0" w:color="auto"/>
          </w:divBdr>
        </w:div>
        <w:div w:id="1638870766">
          <w:marLeft w:val="0"/>
          <w:marRight w:val="0"/>
          <w:marTop w:val="0"/>
          <w:marBottom w:val="0"/>
          <w:divBdr>
            <w:top w:val="none" w:sz="0" w:space="0" w:color="auto"/>
            <w:left w:val="none" w:sz="0" w:space="0" w:color="auto"/>
            <w:bottom w:val="none" w:sz="0" w:space="0" w:color="auto"/>
            <w:right w:val="none" w:sz="0" w:space="0" w:color="auto"/>
          </w:divBdr>
        </w:div>
        <w:div w:id="1965427586">
          <w:marLeft w:val="0"/>
          <w:marRight w:val="0"/>
          <w:marTop w:val="0"/>
          <w:marBottom w:val="0"/>
          <w:divBdr>
            <w:top w:val="none" w:sz="0" w:space="0" w:color="auto"/>
            <w:left w:val="none" w:sz="0" w:space="0" w:color="auto"/>
            <w:bottom w:val="none" w:sz="0" w:space="0" w:color="auto"/>
            <w:right w:val="none" w:sz="0" w:space="0" w:color="auto"/>
          </w:divBdr>
        </w:div>
        <w:div w:id="186720649">
          <w:marLeft w:val="0"/>
          <w:marRight w:val="0"/>
          <w:marTop w:val="0"/>
          <w:marBottom w:val="0"/>
          <w:divBdr>
            <w:top w:val="none" w:sz="0" w:space="0" w:color="auto"/>
            <w:left w:val="none" w:sz="0" w:space="0" w:color="auto"/>
            <w:bottom w:val="none" w:sz="0" w:space="0" w:color="auto"/>
            <w:right w:val="none" w:sz="0" w:space="0" w:color="auto"/>
          </w:divBdr>
        </w:div>
        <w:div w:id="393311960">
          <w:marLeft w:val="0"/>
          <w:marRight w:val="0"/>
          <w:marTop w:val="0"/>
          <w:marBottom w:val="0"/>
          <w:divBdr>
            <w:top w:val="none" w:sz="0" w:space="0" w:color="auto"/>
            <w:left w:val="none" w:sz="0" w:space="0" w:color="auto"/>
            <w:bottom w:val="none" w:sz="0" w:space="0" w:color="auto"/>
            <w:right w:val="none" w:sz="0" w:space="0" w:color="auto"/>
          </w:divBdr>
        </w:div>
      </w:divsChild>
    </w:div>
    <w:div w:id="2014264318">
      <w:bodyDiv w:val="1"/>
      <w:marLeft w:val="0"/>
      <w:marRight w:val="0"/>
      <w:marTop w:val="0"/>
      <w:marBottom w:val="0"/>
      <w:divBdr>
        <w:top w:val="none" w:sz="0" w:space="0" w:color="auto"/>
        <w:left w:val="none" w:sz="0" w:space="0" w:color="auto"/>
        <w:bottom w:val="none" w:sz="0" w:space="0" w:color="auto"/>
        <w:right w:val="none" w:sz="0" w:space="0" w:color="auto"/>
      </w:divBdr>
    </w:div>
    <w:div w:id="2043824412">
      <w:bodyDiv w:val="1"/>
      <w:marLeft w:val="0"/>
      <w:marRight w:val="0"/>
      <w:marTop w:val="0"/>
      <w:marBottom w:val="0"/>
      <w:divBdr>
        <w:top w:val="none" w:sz="0" w:space="0" w:color="auto"/>
        <w:left w:val="none" w:sz="0" w:space="0" w:color="auto"/>
        <w:bottom w:val="none" w:sz="0" w:space="0" w:color="auto"/>
        <w:right w:val="none" w:sz="0" w:space="0" w:color="auto"/>
      </w:divBdr>
      <w:divsChild>
        <w:div w:id="454954218">
          <w:marLeft w:val="0"/>
          <w:marRight w:val="0"/>
          <w:marTop w:val="0"/>
          <w:marBottom w:val="0"/>
          <w:divBdr>
            <w:top w:val="none" w:sz="0" w:space="0" w:color="auto"/>
            <w:left w:val="none" w:sz="0" w:space="0" w:color="auto"/>
            <w:bottom w:val="none" w:sz="0" w:space="0" w:color="auto"/>
            <w:right w:val="none" w:sz="0" w:space="0" w:color="auto"/>
          </w:divBdr>
        </w:div>
        <w:div w:id="97213355">
          <w:marLeft w:val="0"/>
          <w:marRight w:val="0"/>
          <w:marTop w:val="0"/>
          <w:marBottom w:val="0"/>
          <w:divBdr>
            <w:top w:val="none" w:sz="0" w:space="0" w:color="auto"/>
            <w:left w:val="none" w:sz="0" w:space="0" w:color="auto"/>
            <w:bottom w:val="none" w:sz="0" w:space="0" w:color="auto"/>
            <w:right w:val="none" w:sz="0" w:space="0" w:color="auto"/>
          </w:divBdr>
        </w:div>
        <w:div w:id="1415513220">
          <w:marLeft w:val="0"/>
          <w:marRight w:val="0"/>
          <w:marTop w:val="0"/>
          <w:marBottom w:val="0"/>
          <w:divBdr>
            <w:top w:val="none" w:sz="0" w:space="0" w:color="auto"/>
            <w:left w:val="none" w:sz="0" w:space="0" w:color="auto"/>
            <w:bottom w:val="none" w:sz="0" w:space="0" w:color="auto"/>
            <w:right w:val="none" w:sz="0" w:space="0" w:color="auto"/>
          </w:divBdr>
        </w:div>
        <w:div w:id="1264414049">
          <w:marLeft w:val="0"/>
          <w:marRight w:val="0"/>
          <w:marTop w:val="0"/>
          <w:marBottom w:val="0"/>
          <w:divBdr>
            <w:top w:val="none" w:sz="0" w:space="0" w:color="auto"/>
            <w:left w:val="none" w:sz="0" w:space="0" w:color="auto"/>
            <w:bottom w:val="none" w:sz="0" w:space="0" w:color="auto"/>
            <w:right w:val="none" w:sz="0" w:space="0" w:color="auto"/>
          </w:divBdr>
        </w:div>
        <w:div w:id="1497844080">
          <w:marLeft w:val="0"/>
          <w:marRight w:val="0"/>
          <w:marTop w:val="0"/>
          <w:marBottom w:val="0"/>
          <w:divBdr>
            <w:top w:val="none" w:sz="0" w:space="0" w:color="auto"/>
            <w:left w:val="none" w:sz="0" w:space="0" w:color="auto"/>
            <w:bottom w:val="none" w:sz="0" w:space="0" w:color="auto"/>
            <w:right w:val="none" w:sz="0" w:space="0" w:color="auto"/>
          </w:divBdr>
        </w:div>
      </w:divsChild>
    </w:div>
    <w:div w:id="2044164585">
      <w:bodyDiv w:val="1"/>
      <w:marLeft w:val="0"/>
      <w:marRight w:val="0"/>
      <w:marTop w:val="0"/>
      <w:marBottom w:val="0"/>
      <w:divBdr>
        <w:top w:val="none" w:sz="0" w:space="0" w:color="auto"/>
        <w:left w:val="none" w:sz="0" w:space="0" w:color="auto"/>
        <w:bottom w:val="none" w:sz="0" w:space="0" w:color="auto"/>
        <w:right w:val="none" w:sz="0" w:space="0" w:color="auto"/>
      </w:divBdr>
      <w:divsChild>
        <w:div w:id="336737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lexis360-fr.rproxy.univ-pau.fr/Docview.aspx?&amp;tsid=docview3_&amp;citationData=%7b%22citationId%22:%22R1%22,%22title%22:%22CEDH,%201er%20f&#233;vr.%202018,%20n&#176;%2051312/16,%20M.K%20c/%20Gr&#232;ce%22,%22docId%22:%22KC_NEWS-1025624_0KVW%22%7d"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EE95FC-68C5-4D20-B120-55026C623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27</Pages>
  <Words>8047</Words>
  <Characters>44264</Characters>
  <Application>Microsoft Office Word</Application>
  <DocSecurity>0</DocSecurity>
  <Lines>368</Lines>
  <Paragraphs>104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François-Vivien GUIOT</dc:creator>
  <cp:lastModifiedBy>François-Vivien GUIOT</cp:lastModifiedBy>
  <cp:revision>12</cp:revision>
  <cp:lastPrinted>2018-03-29T15:23:00Z</cp:lastPrinted>
  <dcterms:created xsi:type="dcterms:W3CDTF">2018-04-06T00:23:00Z</dcterms:created>
  <dcterms:modified xsi:type="dcterms:W3CDTF">2018-04-06T16:31:00Z</dcterms:modified>
</cp:coreProperties>
</file>