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E16" w:rsidRPr="00675235" w:rsidRDefault="00675235" w:rsidP="000F343A">
      <w:pPr>
        <w:spacing w:after="0" w:line="360" w:lineRule="auto"/>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Analyse comparée des droits</w:t>
      </w:r>
      <w:r w:rsidR="000F343A" w:rsidRPr="00675235">
        <w:rPr>
          <w:rFonts w:ascii="Times New Roman" w:hAnsi="Times New Roman" w:cs="Times New Roman"/>
          <w:b/>
          <w:sz w:val="24"/>
          <w:szCs w:val="24"/>
        </w:rPr>
        <w:t xml:space="preserve"> des parties </w:t>
      </w:r>
      <w:r w:rsidR="00A750DE">
        <w:rPr>
          <w:rFonts w:ascii="Times New Roman" w:hAnsi="Times New Roman" w:cs="Times New Roman"/>
          <w:b/>
          <w:sz w:val="24"/>
          <w:szCs w:val="24"/>
        </w:rPr>
        <w:t xml:space="preserve">privées </w:t>
      </w:r>
      <w:r w:rsidR="000F343A" w:rsidRPr="00675235">
        <w:rPr>
          <w:rFonts w:ascii="Times New Roman" w:hAnsi="Times New Roman" w:cs="Times New Roman"/>
          <w:b/>
          <w:sz w:val="24"/>
          <w:szCs w:val="24"/>
        </w:rPr>
        <w:t xml:space="preserve">durant </w:t>
      </w:r>
      <w:r w:rsidR="00DA0578">
        <w:rPr>
          <w:rFonts w:ascii="Times New Roman" w:hAnsi="Times New Roman" w:cs="Times New Roman"/>
          <w:b/>
          <w:sz w:val="24"/>
          <w:szCs w:val="24"/>
        </w:rPr>
        <w:t>l’enquête</w:t>
      </w:r>
      <w:r w:rsidR="000F343A" w:rsidRPr="00675235">
        <w:rPr>
          <w:rFonts w:ascii="Times New Roman" w:hAnsi="Times New Roman" w:cs="Times New Roman"/>
          <w:b/>
          <w:sz w:val="24"/>
          <w:szCs w:val="24"/>
        </w:rPr>
        <w:t xml:space="preserve"> et </w:t>
      </w:r>
      <w:r w:rsidR="00DA0578">
        <w:rPr>
          <w:rFonts w:ascii="Times New Roman" w:hAnsi="Times New Roman" w:cs="Times New Roman"/>
          <w:b/>
          <w:sz w:val="24"/>
          <w:szCs w:val="24"/>
        </w:rPr>
        <w:t>l’instruction</w:t>
      </w:r>
    </w:p>
    <w:p w:rsidR="000F343A" w:rsidRDefault="000F343A" w:rsidP="000F343A">
      <w:pPr>
        <w:spacing w:after="0" w:line="360" w:lineRule="auto"/>
        <w:jc w:val="both"/>
        <w:rPr>
          <w:rFonts w:ascii="Times New Roman" w:hAnsi="Times New Roman" w:cs="Times New Roman"/>
          <w:sz w:val="24"/>
          <w:szCs w:val="24"/>
        </w:rPr>
      </w:pPr>
    </w:p>
    <w:p w:rsidR="000F343A" w:rsidRDefault="000F343A" w:rsidP="007D57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Guillaume Beaussonie</w:t>
      </w:r>
    </w:p>
    <w:p w:rsidR="00A750DE" w:rsidRDefault="00A750DE" w:rsidP="007D57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Antoine Botton</w:t>
      </w:r>
    </w:p>
    <w:p w:rsidR="000F343A" w:rsidRPr="000F343A" w:rsidRDefault="000F343A" w:rsidP="007D57E5">
      <w:pPr>
        <w:spacing w:after="0" w:line="240" w:lineRule="auto"/>
        <w:jc w:val="both"/>
        <w:rPr>
          <w:rFonts w:ascii="Times New Roman" w:hAnsi="Times New Roman" w:cs="Times New Roman"/>
          <w:i/>
          <w:sz w:val="24"/>
          <w:szCs w:val="24"/>
        </w:rPr>
      </w:pPr>
      <w:r w:rsidRPr="000F343A">
        <w:rPr>
          <w:rFonts w:ascii="Times New Roman" w:hAnsi="Times New Roman" w:cs="Times New Roman"/>
          <w:i/>
          <w:sz w:val="24"/>
          <w:szCs w:val="24"/>
        </w:rPr>
        <w:t>Professeur</w:t>
      </w:r>
      <w:r w:rsidR="00A750DE">
        <w:rPr>
          <w:rFonts w:ascii="Times New Roman" w:hAnsi="Times New Roman" w:cs="Times New Roman"/>
          <w:i/>
          <w:sz w:val="24"/>
          <w:szCs w:val="24"/>
        </w:rPr>
        <w:t>s</w:t>
      </w:r>
      <w:r w:rsidRPr="000F343A">
        <w:rPr>
          <w:rFonts w:ascii="Times New Roman" w:hAnsi="Times New Roman" w:cs="Times New Roman"/>
          <w:i/>
          <w:sz w:val="24"/>
          <w:szCs w:val="24"/>
        </w:rPr>
        <w:t xml:space="preserve"> à l’Université Toulouse 1-Capitole</w:t>
      </w:r>
    </w:p>
    <w:p w:rsidR="000F343A" w:rsidRPr="000F343A" w:rsidRDefault="000F343A" w:rsidP="007D57E5">
      <w:pPr>
        <w:spacing w:after="0" w:line="240" w:lineRule="auto"/>
        <w:jc w:val="both"/>
        <w:rPr>
          <w:rFonts w:ascii="Times New Roman" w:hAnsi="Times New Roman" w:cs="Times New Roman"/>
          <w:i/>
          <w:sz w:val="24"/>
          <w:szCs w:val="24"/>
        </w:rPr>
      </w:pPr>
      <w:r w:rsidRPr="000F343A">
        <w:rPr>
          <w:rFonts w:ascii="Times New Roman" w:hAnsi="Times New Roman" w:cs="Times New Roman"/>
          <w:i/>
          <w:sz w:val="24"/>
          <w:szCs w:val="24"/>
        </w:rPr>
        <w:t>Codirecteur</w:t>
      </w:r>
      <w:r w:rsidR="00A750DE">
        <w:rPr>
          <w:rFonts w:ascii="Times New Roman" w:hAnsi="Times New Roman" w:cs="Times New Roman"/>
          <w:i/>
          <w:sz w:val="24"/>
          <w:szCs w:val="24"/>
        </w:rPr>
        <w:t>s</w:t>
      </w:r>
      <w:r w:rsidRPr="000F343A">
        <w:rPr>
          <w:rFonts w:ascii="Times New Roman" w:hAnsi="Times New Roman" w:cs="Times New Roman"/>
          <w:i/>
          <w:sz w:val="24"/>
          <w:szCs w:val="24"/>
        </w:rPr>
        <w:t xml:space="preserve"> de l’Institut Roger Merle</w:t>
      </w:r>
    </w:p>
    <w:p w:rsidR="000F343A" w:rsidRDefault="000F343A" w:rsidP="007D57E5">
      <w:pPr>
        <w:spacing w:after="0" w:line="360" w:lineRule="auto"/>
        <w:jc w:val="both"/>
        <w:rPr>
          <w:rFonts w:ascii="Times New Roman" w:hAnsi="Times New Roman" w:cs="Times New Roman"/>
          <w:sz w:val="24"/>
          <w:szCs w:val="24"/>
        </w:rPr>
      </w:pPr>
    </w:p>
    <w:p w:rsidR="000F343A" w:rsidRDefault="006E7FA7" w:rsidP="007D57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Sauf à revenir à l’Ordonnance de 1670, j</w:t>
      </w:r>
      <w:r w:rsidR="005A43E6">
        <w:rPr>
          <w:rFonts w:ascii="Times New Roman" w:hAnsi="Times New Roman" w:cs="Times New Roman"/>
          <w:sz w:val="24"/>
          <w:szCs w:val="24"/>
        </w:rPr>
        <w:t xml:space="preserve">amais, sans doute, </w:t>
      </w:r>
      <w:r>
        <w:rPr>
          <w:rFonts w:ascii="Times New Roman" w:hAnsi="Times New Roman" w:cs="Times New Roman"/>
          <w:sz w:val="24"/>
          <w:szCs w:val="24"/>
        </w:rPr>
        <w:t>l’</w:t>
      </w:r>
      <w:r w:rsidR="005A43E6">
        <w:rPr>
          <w:rFonts w:ascii="Times New Roman" w:hAnsi="Times New Roman" w:cs="Times New Roman"/>
          <w:sz w:val="24"/>
          <w:szCs w:val="24"/>
        </w:rPr>
        <w:t xml:space="preserve">enquête et </w:t>
      </w:r>
      <w:r>
        <w:rPr>
          <w:rFonts w:ascii="Times New Roman" w:hAnsi="Times New Roman" w:cs="Times New Roman"/>
          <w:sz w:val="24"/>
          <w:szCs w:val="24"/>
        </w:rPr>
        <w:t>l’</w:t>
      </w:r>
      <w:r w:rsidR="005A43E6">
        <w:rPr>
          <w:rFonts w:ascii="Times New Roman" w:hAnsi="Times New Roman" w:cs="Times New Roman"/>
          <w:sz w:val="24"/>
          <w:szCs w:val="24"/>
        </w:rPr>
        <w:t>instruction n’ont été aussi proches qu’aujourd’hui.</w:t>
      </w:r>
      <w:r w:rsidR="005E686C">
        <w:rPr>
          <w:rFonts w:ascii="Times New Roman" w:hAnsi="Times New Roman" w:cs="Times New Roman"/>
          <w:sz w:val="24"/>
          <w:szCs w:val="24"/>
        </w:rPr>
        <w:t xml:space="preserve"> </w:t>
      </w:r>
      <w:r>
        <w:rPr>
          <w:rFonts w:ascii="Times New Roman" w:hAnsi="Times New Roman" w:cs="Times New Roman"/>
          <w:sz w:val="24"/>
          <w:szCs w:val="24"/>
        </w:rPr>
        <w:t xml:space="preserve">On connait les causes de ce </w:t>
      </w:r>
      <w:r w:rsidR="007D57E5">
        <w:rPr>
          <w:rFonts w:ascii="Times New Roman" w:hAnsi="Times New Roman" w:cs="Times New Roman"/>
          <w:sz w:val="24"/>
          <w:szCs w:val="24"/>
        </w:rPr>
        <w:t xml:space="preserve">rapprochement : </w:t>
      </w:r>
      <w:r w:rsidR="00A750DE">
        <w:rPr>
          <w:rFonts w:ascii="Times New Roman" w:hAnsi="Times New Roman" w:cs="Times New Roman"/>
          <w:sz w:val="24"/>
          <w:szCs w:val="24"/>
        </w:rPr>
        <w:t xml:space="preserve">d’abord, </w:t>
      </w:r>
      <w:r w:rsidR="007D57E5">
        <w:rPr>
          <w:rFonts w:ascii="Times New Roman" w:hAnsi="Times New Roman" w:cs="Times New Roman"/>
          <w:sz w:val="24"/>
          <w:szCs w:val="24"/>
        </w:rPr>
        <w:t>en raison de l’importance prise par l’enquête, l’efficacité de l’instruction lui a, peu à peu, été communiquée</w:t>
      </w:r>
      <w:r w:rsidR="00A750DE">
        <w:rPr>
          <w:rFonts w:ascii="Times New Roman" w:hAnsi="Times New Roman" w:cs="Times New Roman"/>
          <w:sz w:val="24"/>
          <w:szCs w:val="24"/>
        </w:rPr>
        <w:t> ; ensuite</w:t>
      </w:r>
      <w:r w:rsidR="0006030D">
        <w:rPr>
          <w:rFonts w:ascii="Times New Roman" w:hAnsi="Times New Roman" w:cs="Times New Roman"/>
          <w:sz w:val="24"/>
          <w:szCs w:val="24"/>
        </w:rPr>
        <w:t xml:space="preserve">, </w:t>
      </w:r>
      <w:r w:rsidR="007D57E5">
        <w:rPr>
          <w:rFonts w:ascii="Times New Roman" w:hAnsi="Times New Roman" w:cs="Times New Roman"/>
          <w:sz w:val="24"/>
          <w:szCs w:val="24"/>
        </w:rPr>
        <w:t xml:space="preserve">en raison </w:t>
      </w:r>
      <w:r w:rsidR="00124519">
        <w:rPr>
          <w:rFonts w:ascii="Times New Roman" w:hAnsi="Times New Roman" w:cs="Times New Roman"/>
          <w:sz w:val="24"/>
          <w:szCs w:val="24"/>
        </w:rPr>
        <w:t>du développement</w:t>
      </w:r>
      <w:r w:rsidR="007D57E5">
        <w:rPr>
          <w:rFonts w:ascii="Times New Roman" w:hAnsi="Times New Roman" w:cs="Times New Roman"/>
          <w:sz w:val="24"/>
          <w:szCs w:val="24"/>
        </w:rPr>
        <w:t xml:space="preserve"> </w:t>
      </w:r>
      <w:r w:rsidR="00DE0649">
        <w:rPr>
          <w:rFonts w:ascii="Times New Roman" w:hAnsi="Times New Roman" w:cs="Times New Roman"/>
          <w:sz w:val="24"/>
          <w:szCs w:val="24"/>
        </w:rPr>
        <w:t>des</w:t>
      </w:r>
      <w:r w:rsidR="007D57E5">
        <w:rPr>
          <w:rFonts w:ascii="Times New Roman" w:hAnsi="Times New Roman" w:cs="Times New Roman"/>
          <w:sz w:val="24"/>
          <w:szCs w:val="24"/>
        </w:rPr>
        <w:t xml:space="preserve"> droits fondamentaux, l’équité </w:t>
      </w:r>
      <w:r w:rsidR="0006030D">
        <w:rPr>
          <w:rFonts w:ascii="Times New Roman" w:hAnsi="Times New Roman" w:cs="Times New Roman"/>
          <w:sz w:val="24"/>
          <w:szCs w:val="24"/>
        </w:rPr>
        <w:t xml:space="preserve">du procès </w:t>
      </w:r>
      <w:r w:rsidR="007D57E5">
        <w:rPr>
          <w:rFonts w:ascii="Times New Roman" w:hAnsi="Times New Roman" w:cs="Times New Roman"/>
          <w:sz w:val="24"/>
          <w:szCs w:val="24"/>
        </w:rPr>
        <w:t>a, peu à peu, investi l’instruction</w:t>
      </w:r>
      <w:r w:rsidR="005E686C">
        <w:rPr>
          <w:rFonts w:ascii="Times New Roman" w:hAnsi="Times New Roman" w:cs="Times New Roman"/>
          <w:sz w:val="24"/>
          <w:szCs w:val="24"/>
        </w:rPr>
        <w:t>,</w:t>
      </w:r>
      <w:r w:rsidR="007D57E5">
        <w:rPr>
          <w:rFonts w:ascii="Times New Roman" w:hAnsi="Times New Roman" w:cs="Times New Roman"/>
          <w:sz w:val="24"/>
          <w:szCs w:val="24"/>
        </w:rPr>
        <w:t xml:space="preserve"> puis l’enquête. </w:t>
      </w:r>
      <w:r w:rsidR="0073688D">
        <w:rPr>
          <w:rFonts w:ascii="Times New Roman" w:hAnsi="Times New Roman" w:cs="Times New Roman"/>
          <w:sz w:val="24"/>
          <w:szCs w:val="24"/>
        </w:rPr>
        <w:t>Il n</w:t>
      </w:r>
      <w:r w:rsidR="0006030D">
        <w:rPr>
          <w:rFonts w:ascii="Times New Roman" w:hAnsi="Times New Roman" w:cs="Times New Roman"/>
          <w:sz w:val="24"/>
          <w:szCs w:val="24"/>
        </w:rPr>
        <w:t>e</w:t>
      </w:r>
      <w:r w:rsidR="007D57E5">
        <w:rPr>
          <w:rFonts w:ascii="Times New Roman" w:hAnsi="Times New Roman" w:cs="Times New Roman"/>
          <w:sz w:val="24"/>
          <w:szCs w:val="24"/>
        </w:rPr>
        <w:t xml:space="preserve"> reste alors</w:t>
      </w:r>
      <w:r w:rsidR="00EE46DD">
        <w:rPr>
          <w:rFonts w:ascii="Times New Roman" w:hAnsi="Times New Roman" w:cs="Times New Roman"/>
          <w:sz w:val="24"/>
          <w:szCs w:val="24"/>
        </w:rPr>
        <w:t>, sans doute,</w:t>
      </w:r>
      <w:r w:rsidR="007D57E5">
        <w:rPr>
          <w:rFonts w:ascii="Times New Roman" w:hAnsi="Times New Roman" w:cs="Times New Roman"/>
          <w:sz w:val="24"/>
          <w:szCs w:val="24"/>
        </w:rPr>
        <w:t xml:space="preserve"> </w:t>
      </w:r>
      <w:r w:rsidR="0006030D">
        <w:rPr>
          <w:rFonts w:ascii="Times New Roman" w:hAnsi="Times New Roman" w:cs="Times New Roman"/>
          <w:sz w:val="24"/>
          <w:szCs w:val="24"/>
        </w:rPr>
        <w:t>qu’</w:t>
      </w:r>
      <w:r w:rsidR="007D57E5">
        <w:rPr>
          <w:rFonts w:ascii="Times New Roman" w:hAnsi="Times New Roman" w:cs="Times New Roman"/>
          <w:sz w:val="24"/>
          <w:szCs w:val="24"/>
        </w:rPr>
        <w:t>à en déterminer les conséquences :</w:t>
      </w:r>
      <w:r w:rsidR="007D57E5" w:rsidRPr="007D57E5">
        <w:rPr>
          <w:rFonts w:ascii="Times New Roman" w:hAnsi="Times New Roman" w:cs="Times New Roman"/>
          <w:sz w:val="24"/>
          <w:szCs w:val="24"/>
        </w:rPr>
        <w:t xml:space="preserve"> </w:t>
      </w:r>
      <w:r w:rsidR="007D57E5">
        <w:rPr>
          <w:rFonts w:ascii="Times New Roman" w:hAnsi="Times New Roman" w:cs="Times New Roman"/>
          <w:sz w:val="24"/>
          <w:szCs w:val="24"/>
        </w:rPr>
        <w:t>puisqu</w:t>
      </w:r>
      <w:r w:rsidR="00EE46DD">
        <w:rPr>
          <w:rFonts w:ascii="Times New Roman" w:hAnsi="Times New Roman" w:cs="Times New Roman"/>
          <w:sz w:val="24"/>
          <w:szCs w:val="24"/>
        </w:rPr>
        <w:t>’elle</w:t>
      </w:r>
      <w:r w:rsidR="007D57E5">
        <w:rPr>
          <w:rFonts w:ascii="Times New Roman" w:hAnsi="Times New Roman" w:cs="Times New Roman"/>
          <w:sz w:val="24"/>
          <w:szCs w:val="24"/>
        </w:rPr>
        <w:t xml:space="preserve"> a </w:t>
      </w:r>
      <w:r w:rsidR="005E686C">
        <w:rPr>
          <w:rFonts w:ascii="Times New Roman" w:hAnsi="Times New Roman" w:cs="Times New Roman"/>
          <w:sz w:val="24"/>
          <w:szCs w:val="24"/>
        </w:rPr>
        <w:t xml:space="preserve">donc </w:t>
      </w:r>
      <w:r w:rsidR="0006030D">
        <w:rPr>
          <w:rFonts w:ascii="Times New Roman" w:hAnsi="Times New Roman" w:cs="Times New Roman"/>
          <w:sz w:val="24"/>
          <w:szCs w:val="24"/>
        </w:rPr>
        <w:t xml:space="preserve">eu </w:t>
      </w:r>
      <w:r w:rsidR="007D57E5">
        <w:rPr>
          <w:rFonts w:ascii="Times New Roman" w:hAnsi="Times New Roman" w:cs="Times New Roman"/>
          <w:sz w:val="24"/>
          <w:szCs w:val="24"/>
        </w:rPr>
        <w:t>lieu</w:t>
      </w:r>
      <w:r w:rsidR="00FD30F6">
        <w:rPr>
          <w:rFonts w:ascii="Times New Roman" w:hAnsi="Times New Roman" w:cs="Times New Roman"/>
          <w:sz w:val="24"/>
          <w:szCs w:val="24"/>
        </w:rPr>
        <w:t xml:space="preserve"> </w:t>
      </w:r>
      <w:r w:rsidR="007D57E5">
        <w:rPr>
          <w:rFonts w:ascii="Times New Roman" w:hAnsi="Times New Roman" w:cs="Times New Roman"/>
          <w:sz w:val="24"/>
          <w:szCs w:val="24"/>
        </w:rPr>
        <w:t>par souci</w:t>
      </w:r>
      <w:r w:rsidR="00A750DE">
        <w:rPr>
          <w:rFonts w:ascii="Times New Roman" w:hAnsi="Times New Roman" w:cs="Times New Roman"/>
          <w:sz w:val="24"/>
          <w:szCs w:val="24"/>
        </w:rPr>
        <w:t xml:space="preserve"> </w:t>
      </w:r>
      <w:r w:rsidR="007D57E5">
        <w:rPr>
          <w:rFonts w:ascii="Times New Roman" w:hAnsi="Times New Roman" w:cs="Times New Roman"/>
          <w:sz w:val="24"/>
          <w:szCs w:val="24"/>
        </w:rPr>
        <w:t>d’efficacité et d</w:t>
      </w:r>
      <w:r w:rsidR="0006030D">
        <w:rPr>
          <w:rFonts w:ascii="Times New Roman" w:hAnsi="Times New Roman" w:cs="Times New Roman"/>
          <w:sz w:val="24"/>
          <w:szCs w:val="24"/>
        </w:rPr>
        <w:t>’équité</w:t>
      </w:r>
      <w:r w:rsidR="00A750DE">
        <w:rPr>
          <w:rFonts w:ascii="Times New Roman" w:hAnsi="Times New Roman" w:cs="Times New Roman"/>
          <w:sz w:val="24"/>
          <w:szCs w:val="24"/>
        </w:rPr>
        <w:t xml:space="preserve"> à la fois</w:t>
      </w:r>
      <w:r w:rsidR="007D57E5">
        <w:rPr>
          <w:rFonts w:ascii="Times New Roman" w:hAnsi="Times New Roman" w:cs="Times New Roman"/>
          <w:sz w:val="24"/>
          <w:szCs w:val="24"/>
        </w:rPr>
        <w:t xml:space="preserve">, </w:t>
      </w:r>
      <w:r w:rsidR="00EE46DD">
        <w:rPr>
          <w:rFonts w:ascii="Times New Roman" w:hAnsi="Times New Roman" w:cs="Times New Roman"/>
          <w:sz w:val="24"/>
          <w:szCs w:val="24"/>
        </w:rPr>
        <w:t xml:space="preserve">cette convergence </w:t>
      </w:r>
      <w:r w:rsidR="007D57E5">
        <w:rPr>
          <w:rFonts w:ascii="Times New Roman" w:hAnsi="Times New Roman" w:cs="Times New Roman"/>
          <w:sz w:val="24"/>
          <w:szCs w:val="24"/>
        </w:rPr>
        <w:t>de l’enquête et de l</w:t>
      </w:r>
      <w:r w:rsidR="00EE46DD">
        <w:rPr>
          <w:rFonts w:ascii="Times New Roman" w:hAnsi="Times New Roman" w:cs="Times New Roman"/>
          <w:sz w:val="24"/>
          <w:szCs w:val="24"/>
        </w:rPr>
        <w:t>’instruction doit-elle</w:t>
      </w:r>
      <w:r w:rsidR="007D57E5">
        <w:rPr>
          <w:rFonts w:ascii="Times New Roman" w:hAnsi="Times New Roman" w:cs="Times New Roman"/>
          <w:sz w:val="24"/>
          <w:szCs w:val="24"/>
        </w:rPr>
        <w:t xml:space="preserve"> inéluctablement s’opérer au détriment de cette dernière</w:t>
      </w:r>
      <w:r w:rsidR="0006030D">
        <w:rPr>
          <w:rFonts w:ascii="Times New Roman" w:hAnsi="Times New Roman" w:cs="Times New Roman"/>
          <w:sz w:val="24"/>
          <w:szCs w:val="24"/>
        </w:rPr>
        <w:t xml:space="preserve">, comme </w:t>
      </w:r>
      <w:r w:rsidR="00744167">
        <w:rPr>
          <w:rFonts w:ascii="Times New Roman" w:hAnsi="Times New Roman" w:cs="Times New Roman"/>
          <w:sz w:val="24"/>
          <w:szCs w:val="24"/>
        </w:rPr>
        <w:t>tous ou presque</w:t>
      </w:r>
      <w:r w:rsidR="0006030D">
        <w:rPr>
          <w:rFonts w:ascii="Times New Roman" w:hAnsi="Times New Roman" w:cs="Times New Roman"/>
          <w:sz w:val="24"/>
          <w:szCs w:val="24"/>
        </w:rPr>
        <w:t xml:space="preserve"> semble</w:t>
      </w:r>
      <w:r w:rsidR="00744167">
        <w:rPr>
          <w:rFonts w:ascii="Times New Roman" w:hAnsi="Times New Roman" w:cs="Times New Roman"/>
          <w:sz w:val="24"/>
          <w:szCs w:val="24"/>
        </w:rPr>
        <w:t>nt</w:t>
      </w:r>
      <w:r w:rsidR="0006030D">
        <w:rPr>
          <w:rFonts w:ascii="Times New Roman" w:hAnsi="Times New Roman" w:cs="Times New Roman"/>
          <w:sz w:val="24"/>
          <w:szCs w:val="24"/>
        </w:rPr>
        <w:t xml:space="preserve"> </w:t>
      </w:r>
      <w:r w:rsidR="00A750DE">
        <w:rPr>
          <w:rFonts w:ascii="Times New Roman" w:hAnsi="Times New Roman" w:cs="Times New Roman"/>
          <w:sz w:val="24"/>
          <w:szCs w:val="24"/>
        </w:rPr>
        <w:t xml:space="preserve">désormais </w:t>
      </w:r>
      <w:r w:rsidR="0006030D">
        <w:rPr>
          <w:rFonts w:ascii="Times New Roman" w:hAnsi="Times New Roman" w:cs="Times New Roman"/>
          <w:sz w:val="24"/>
          <w:szCs w:val="24"/>
        </w:rPr>
        <w:t>le penser</w:t>
      </w:r>
      <w:r w:rsidR="007D57E5">
        <w:rPr>
          <w:rFonts w:ascii="Times New Roman" w:hAnsi="Times New Roman" w:cs="Times New Roman"/>
          <w:sz w:val="24"/>
          <w:szCs w:val="24"/>
        </w:rPr>
        <w:t xml:space="preserve"> ? L’instruction, </w:t>
      </w:r>
      <w:r w:rsidR="0006030D">
        <w:rPr>
          <w:rFonts w:ascii="Times New Roman" w:hAnsi="Times New Roman" w:cs="Times New Roman"/>
          <w:sz w:val="24"/>
          <w:szCs w:val="24"/>
        </w:rPr>
        <w:t>pourtant</w:t>
      </w:r>
      <w:r w:rsidR="007D57E5">
        <w:rPr>
          <w:rFonts w:ascii="Times New Roman" w:hAnsi="Times New Roman" w:cs="Times New Roman"/>
          <w:sz w:val="24"/>
          <w:szCs w:val="24"/>
        </w:rPr>
        <w:t xml:space="preserve">, demeure le cadre le plus </w:t>
      </w:r>
      <w:r w:rsidR="00EE46DD">
        <w:rPr>
          <w:rFonts w:ascii="Times New Roman" w:hAnsi="Times New Roman" w:cs="Times New Roman"/>
          <w:sz w:val="24"/>
          <w:szCs w:val="24"/>
        </w:rPr>
        <w:t>fort</w:t>
      </w:r>
      <w:r w:rsidR="007D57E5">
        <w:rPr>
          <w:rFonts w:ascii="Times New Roman" w:hAnsi="Times New Roman" w:cs="Times New Roman"/>
          <w:sz w:val="24"/>
          <w:szCs w:val="24"/>
        </w:rPr>
        <w:t xml:space="preserve"> et elle s’est converti</w:t>
      </w:r>
      <w:r w:rsidR="00EE46DD">
        <w:rPr>
          <w:rFonts w:ascii="Times New Roman" w:hAnsi="Times New Roman" w:cs="Times New Roman"/>
          <w:sz w:val="24"/>
          <w:szCs w:val="24"/>
        </w:rPr>
        <w:t>e</w:t>
      </w:r>
      <w:r w:rsidR="007D57E5">
        <w:rPr>
          <w:rFonts w:ascii="Times New Roman" w:hAnsi="Times New Roman" w:cs="Times New Roman"/>
          <w:sz w:val="24"/>
          <w:szCs w:val="24"/>
        </w:rPr>
        <w:t xml:space="preserve"> au contradictoire</w:t>
      </w:r>
      <w:r w:rsidR="0006030D">
        <w:rPr>
          <w:rFonts w:ascii="Times New Roman" w:hAnsi="Times New Roman" w:cs="Times New Roman"/>
          <w:sz w:val="24"/>
          <w:szCs w:val="24"/>
        </w:rPr>
        <w:t xml:space="preserve"> plus rapidement que</w:t>
      </w:r>
      <w:r w:rsidR="007D57E5">
        <w:rPr>
          <w:rFonts w:ascii="Times New Roman" w:hAnsi="Times New Roman" w:cs="Times New Roman"/>
          <w:sz w:val="24"/>
          <w:szCs w:val="24"/>
        </w:rPr>
        <w:t xml:space="preserve"> l’enquête. </w:t>
      </w:r>
      <w:r w:rsidR="0006030D">
        <w:rPr>
          <w:rFonts w:ascii="Times New Roman" w:hAnsi="Times New Roman" w:cs="Times New Roman"/>
          <w:sz w:val="24"/>
          <w:szCs w:val="24"/>
        </w:rPr>
        <w:t>Car le juge</w:t>
      </w:r>
      <w:r w:rsidR="00EE46DD">
        <w:rPr>
          <w:rFonts w:ascii="Times New Roman" w:hAnsi="Times New Roman" w:cs="Times New Roman"/>
          <w:sz w:val="24"/>
          <w:szCs w:val="24"/>
        </w:rPr>
        <w:t xml:space="preserve"> qui, on en conviendra, est le propre de l’instruction plus que de l’enquête,</w:t>
      </w:r>
      <w:r w:rsidR="00124519">
        <w:rPr>
          <w:rFonts w:ascii="Times New Roman" w:hAnsi="Times New Roman" w:cs="Times New Roman"/>
          <w:sz w:val="24"/>
          <w:szCs w:val="24"/>
        </w:rPr>
        <w:t xml:space="preserve"> est et demeure</w:t>
      </w:r>
      <w:r w:rsidR="0006030D">
        <w:rPr>
          <w:rFonts w:ascii="Times New Roman" w:hAnsi="Times New Roman" w:cs="Times New Roman"/>
          <w:sz w:val="24"/>
          <w:szCs w:val="24"/>
        </w:rPr>
        <w:t xml:space="preserve">, par ses pouvoirs, un ferment </w:t>
      </w:r>
      <w:r w:rsidR="00EE46DD">
        <w:rPr>
          <w:rFonts w:ascii="Times New Roman" w:hAnsi="Times New Roman" w:cs="Times New Roman"/>
          <w:sz w:val="24"/>
          <w:szCs w:val="24"/>
        </w:rPr>
        <w:t xml:space="preserve">d’efficacité </w:t>
      </w:r>
      <w:r w:rsidR="0006030D">
        <w:rPr>
          <w:rFonts w:ascii="Times New Roman" w:hAnsi="Times New Roman" w:cs="Times New Roman"/>
          <w:sz w:val="24"/>
          <w:szCs w:val="24"/>
        </w:rPr>
        <w:t xml:space="preserve">et, par ses devoirs, un </w:t>
      </w:r>
      <w:r w:rsidR="00EE46DD">
        <w:rPr>
          <w:rFonts w:ascii="Times New Roman" w:hAnsi="Times New Roman" w:cs="Times New Roman"/>
          <w:sz w:val="24"/>
          <w:szCs w:val="24"/>
        </w:rPr>
        <w:t>garant d’équité.</w:t>
      </w:r>
      <w:r w:rsidR="005E686C">
        <w:rPr>
          <w:rFonts w:ascii="Times New Roman" w:hAnsi="Times New Roman" w:cs="Times New Roman"/>
          <w:sz w:val="24"/>
          <w:szCs w:val="24"/>
        </w:rPr>
        <w:t xml:space="preserve"> D’où cette proposition de créer un juge de l’enquête tout en supprimant l’</w:t>
      </w:r>
      <w:r w:rsidR="0073688D">
        <w:rPr>
          <w:rFonts w:ascii="Times New Roman" w:hAnsi="Times New Roman" w:cs="Times New Roman"/>
          <w:sz w:val="24"/>
          <w:szCs w:val="24"/>
        </w:rPr>
        <w:t>instruction, et cette objection</w:t>
      </w:r>
      <w:r w:rsidR="00744167">
        <w:rPr>
          <w:rFonts w:ascii="Times New Roman" w:hAnsi="Times New Roman" w:cs="Times New Roman"/>
          <w:sz w:val="24"/>
          <w:szCs w:val="24"/>
        </w:rPr>
        <w:t>, que l’on soumet au lecteur</w:t>
      </w:r>
      <w:r w:rsidR="0073688D">
        <w:rPr>
          <w:rFonts w:ascii="Times New Roman" w:hAnsi="Times New Roman" w:cs="Times New Roman"/>
          <w:sz w:val="24"/>
          <w:szCs w:val="24"/>
        </w:rPr>
        <w:t xml:space="preserve"> : </w:t>
      </w:r>
      <w:r w:rsidR="00FD30F6">
        <w:rPr>
          <w:rFonts w:ascii="Times New Roman" w:hAnsi="Times New Roman" w:cs="Times New Roman"/>
          <w:sz w:val="24"/>
          <w:szCs w:val="24"/>
        </w:rPr>
        <w:t>ne</w:t>
      </w:r>
      <w:r w:rsidR="005E686C">
        <w:rPr>
          <w:rFonts w:ascii="Times New Roman" w:hAnsi="Times New Roman" w:cs="Times New Roman"/>
          <w:sz w:val="24"/>
          <w:szCs w:val="24"/>
        </w:rPr>
        <w:t xml:space="preserve"> pourrait</w:t>
      </w:r>
      <w:r w:rsidR="00FD30F6">
        <w:rPr>
          <w:rFonts w:ascii="Times New Roman" w:hAnsi="Times New Roman" w:cs="Times New Roman"/>
          <w:sz w:val="24"/>
          <w:szCs w:val="24"/>
        </w:rPr>
        <w:t>-on pas</w:t>
      </w:r>
      <w:r w:rsidR="005E686C">
        <w:rPr>
          <w:rFonts w:ascii="Times New Roman" w:hAnsi="Times New Roman" w:cs="Times New Roman"/>
          <w:sz w:val="24"/>
          <w:szCs w:val="24"/>
        </w:rPr>
        <w:t xml:space="preserve"> faire </w:t>
      </w:r>
      <w:r w:rsidR="00FD30F6">
        <w:rPr>
          <w:rFonts w:ascii="Times New Roman" w:hAnsi="Times New Roman" w:cs="Times New Roman"/>
          <w:sz w:val="24"/>
          <w:szCs w:val="24"/>
        </w:rPr>
        <w:t xml:space="preserve">aussi bien </w:t>
      </w:r>
      <w:r w:rsidR="005E686C">
        <w:rPr>
          <w:rFonts w:ascii="Times New Roman" w:hAnsi="Times New Roman" w:cs="Times New Roman"/>
          <w:sz w:val="24"/>
          <w:szCs w:val="24"/>
        </w:rPr>
        <w:t>en conservant</w:t>
      </w:r>
      <w:r w:rsidR="00A750DE">
        <w:rPr>
          <w:rFonts w:ascii="Times New Roman" w:hAnsi="Times New Roman" w:cs="Times New Roman"/>
          <w:sz w:val="24"/>
          <w:szCs w:val="24"/>
        </w:rPr>
        <w:t xml:space="preserve"> l’instruction</w:t>
      </w:r>
      <w:r w:rsidR="001D2BD5">
        <w:rPr>
          <w:rFonts w:ascii="Times New Roman" w:hAnsi="Times New Roman" w:cs="Times New Roman"/>
          <w:sz w:val="24"/>
          <w:szCs w:val="24"/>
        </w:rPr>
        <w:t>, tout en faisant</w:t>
      </w:r>
      <w:r w:rsidR="0073688D">
        <w:rPr>
          <w:rFonts w:ascii="Times New Roman" w:hAnsi="Times New Roman" w:cs="Times New Roman"/>
          <w:sz w:val="24"/>
          <w:szCs w:val="24"/>
        </w:rPr>
        <w:t xml:space="preserve"> </w:t>
      </w:r>
      <w:r w:rsidR="005E686C">
        <w:rPr>
          <w:rFonts w:ascii="Times New Roman" w:hAnsi="Times New Roman" w:cs="Times New Roman"/>
          <w:sz w:val="24"/>
          <w:szCs w:val="24"/>
        </w:rPr>
        <w:t xml:space="preserve">du juge d’instruction un juge </w:t>
      </w:r>
      <w:r w:rsidR="00FD30F6">
        <w:rPr>
          <w:rFonts w:ascii="Times New Roman" w:hAnsi="Times New Roman" w:cs="Times New Roman"/>
          <w:sz w:val="24"/>
          <w:szCs w:val="24"/>
        </w:rPr>
        <w:t>des libertés </w:t>
      </w:r>
      <w:r w:rsidR="00A750DE">
        <w:rPr>
          <w:rFonts w:ascii="Times New Roman" w:hAnsi="Times New Roman" w:cs="Times New Roman"/>
          <w:sz w:val="24"/>
          <w:szCs w:val="24"/>
        </w:rPr>
        <w:t xml:space="preserve">et de rien d’autre </w:t>
      </w:r>
      <w:r w:rsidR="00FD30F6">
        <w:rPr>
          <w:rFonts w:ascii="Times New Roman" w:hAnsi="Times New Roman" w:cs="Times New Roman"/>
          <w:sz w:val="24"/>
          <w:szCs w:val="24"/>
        </w:rPr>
        <w:t>?</w:t>
      </w:r>
    </w:p>
    <w:p w:rsidR="000F343A" w:rsidRDefault="000F343A" w:rsidP="007D57E5">
      <w:pPr>
        <w:spacing w:after="0" w:line="360" w:lineRule="auto"/>
        <w:jc w:val="both"/>
        <w:rPr>
          <w:rFonts w:ascii="Times New Roman" w:hAnsi="Times New Roman" w:cs="Times New Roman"/>
          <w:sz w:val="24"/>
          <w:szCs w:val="24"/>
        </w:rPr>
      </w:pPr>
    </w:p>
    <w:p w:rsidR="00DE24FE" w:rsidRDefault="007D57E5" w:rsidP="007D57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attendant</w:t>
      </w:r>
      <w:r w:rsidR="00DE0649">
        <w:rPr>
          <w:rFonts w:ascii="Times New Roman" w:hAnsi="Times New Roman" w:cs="Times New Roman"/>
          <w:sz w:val="24"/>
          <w:szCs w:val="24"/>
        </w:rPr>
        <w:t xml:space="preserve"> de connaître l’issue</w:t>
      </w:r>
      <w:r w:rsidR="00957326">
        <w:rPr>
          <w:rFonts w:ascii="Times New Roman" w:hAnsi="Times New Roman" w:cs="Times New Roman"/>
          <w:sz w:val="24"/>
          <w:szCs w:val="24"/>
        </w:rPr>
        <w:t xml:space="preserve"> de cette mutation </w:t>
      </w:r>
      <w:r w:rsidR="00124519">
        <w:rPr>
          <w:rFonts w:ascii="Times New Roman" w:hAnsi="Times New Roman" w:cs="Times New Roman"/>
          <w:sz w:val="24"/>
          <w:szCs w:val="24"/>
        </w:rPr>
        <w:t xml:space="preserve">contemporaine </w:t>
      </w:r>
      <w:r w:rsidR="00957326">
        <w:rPr>
          <w:rFonts w:ascii="Times New Roman" w:hAnsi="Times New Roman" w:cs="Times New Roman"/>
          <w:sz w:val="24"/>
          <w:szCs w:val="24"/>
        </w:rPr>
        <w:t>de la procédure pénale française</w:t>
      </w:r>
      <w:r>
        <w:rPr>
          <w:rFonts w:ascii="Times New Roman" w:hAnsi="Times New Roman" w:cs="Times New Roman"/>
          <w:sz w:val="24"/>
          <w:szCs w:val="24"/>
        </w:rPr>
        <w:t xml:space="preserve"> </w:t>
      </w:r>
      <w:r w:rsidR="00961FD0">
        <w:rPr>
          <w:rFonts w:ascii="Times New Roman" w:hAnsi="Times New Roman" w:cs="Times New Roman"/>
          <w:sz w:val="24"/>
          <w:szCs w:val="24"/>
        </w:rPr>
        <w:t xml:space="preserve">ou afin de la présager, </w:t>
      </w:r>
      <w:r w:rsidR="00A750DE">
        <w:rPr>
          <w:rFonts w:ascii="Times New Roman" w:hAnsi="Times New Roman" w:cs="Times New Roman"/>
          <w:sz w:val="24"/>
          <w:szCs w:val="24"/>
        </w:rPr>
        <w:t>un bilan d’étape s’impose</w:t>
      </w:r>
      <w:r>
        <w:rPr>
          <w:rFonts w:ascii="Times New Roman" w:hAnsi="Times New Roman" w:cs="Times New Roman"/>
          <w:sz w:val="24"/>
          <w:szCs w:val="24"/>
        </w:rPr>
        <w:t xml:space="preserve"> </w:t>
      </w:r>
      <w:r w:rsidR="00957326">
        <w:rPr>
          <w:rFonts w:ascii="Times New Roman" w:hAnsi="Times New Roman" w:cs="Times New Roman"/>
          <w:sz w:val="24"/>
          <w:szCs w:val="24"/>
        </w:rPr>
        <w:t>que l’</w:t>
      </w:r>
      <w:r w:rsidR="00961FD0">
        <w:rPr>
          <w:rFonts w:ascii="Times New Roman" w:hAnsi="Times New Roman" w:cs="Times New Roman"/>
          <w:sz w:val="24"/>
          <w:szCs w:val="24"/>
        </w:rPr>
        <w:t>on dressera</w:t>
      </w:r>
      <w:r w:rsidR="001D2BD5">
        <w:rPr>
          <w:rFonts w:ascii="Times New Roman" w:hAnsi="Times New Roman" w:cs="Times New Roman"/>
          <w:sz w:val="24"/>
          <w:szCs w:val="24"/>
        </w:rPr>
        <w:t>,</w:t>
      </w:r>
      <w:r w:rsidR="00484DCA">
        <w:rPr>
          <w:rFonts w:ascii="Times New Roman" w:hAnsi="Times New Roman" w:cs="Times New Roman"/>
          <w:sz w:val="24"/>
          <w:szCs w:val="24"/>
        </w:rPr>
        <w:t xml:space="preserve"> pour notre part</w:t>
      </w:r>
      <w:r w:rsidR="00961FD0">
        <w:rPr>
          <w:rFonts w:ascii="Times New Roman" w:hAnsi="Times New Roman" w:cs="Times New Roman"/>
          <w:sz w:val="24"/>
          <w:szCs w:val="24"/>
        </w:rPr>
        <w:t xml:space="preserve">, dans le cadre de ce dossier, du </w:t>
      </w:r>
      <w:r w:rsidR="0073688D">
        <w:rPr>
          <w:rFonts w:ascii="Times New Roman" w:hAnsi="Times New Roman" w:cs="Times New Roman"/>
          <w:sz w:val="24"/>
          <w:szCs w:val="24"/>
        </w:rPr>
        <w:t xml:space="preserve">seul </w:t>
      </w:r>
      <w:r w:rsidR="00961FD0">
        <w:rPr>
          <w:rFonts w:ascii="Times New Roman" w:hAnsi="Times New Roman" w:cs="Times New Roman"/>
          <w:sz w:val="24"/>
          <w:szCs w:val="24"/>
        </w:rPr>
        <w:t>point de vue des droits des parties</w:t>
      </w:r>
      <w:r w:rsidR="00A750DE">
        <w:rPr>
          <w:rFonts w:ascii="Times New Roman" w:hAnsi="Times New Roman" w:cs="Times New Roman"/>
          <w:sz w:val="24"/>
          <w:szCs w:val="24"/>
        </w:rPr>
        <w:t xml:space="preserve"> privées</w:t>
      </w:r>
      <w:r w:rsidR="00961FD0">
        <w:rPr>
          <w:rFonts w:ascii="Times New Roman" w:hAnsi="Times New Roman" w:cs="Times New Roman"/>
          <w:sz w:val="24"/>
          <w:szCs w:val="24"/>
        </w:rPr>
        <w:t>.</w:t>
      </w:r>
      <w:r w:rsidR="00CE1938">
        <w:rPr>
          <w:rFonts w:ascii="Times New Roman" w:hAnsi="Times New Roman" w:cs="Times New Roman"/>
          <w:sz w:val="24"/>
          <w:szCs w:val="24"/>
        </w:rPr>
        <w:t xml:space="preserve"> </w:t>
      </w:r>
      <w:r w:rsidR="00744167">
        <w:rPr>
          <w:rFonts w:ascii="Times New Roman" w:hAnsi="Times New Roman" w:cs="Times New Roman"/>
          <w:sz w:val="24"/>
          <w:szCs w:val="24"/>
        </w:rPr>
        <w:t>Nul n’ignore, qu’à</w:t>
      </w:r>
      <w:r w:rsidR="00CE1938">
        <w:rPr>
          <w:rFonts w:ascii="Times New Roman" w:hAnsi="Times New Roman" w:cs="Times New Roman"/>
          <w:sz w:val="24"/>
          <w:szCs w:val="24"/>
        </w:rPr>
        <w:t xml:space="preserve"> cet égard, la Cour européenne des droits de l’homme, le Con</w:t>
      </w:r>
      <w:r w:rsidR="00086E4B">
        <w:rPr>
          <w:rFonts w:ascii="Times New Roman" w:hAnsi="Times New Roman" w:cs="Times New Roman"/>
          <w:sz w:val="24"/>
          <w:szCs w:val="24"/>
        </w:rPr>
        <w:t xml:space="preserve">seil constitutionnel et même les institutions de l’Union européenne ont </w:t>
      </w:r>
      <w:r w:rsidR="00744167">
        <w:rPr>
          <w:rFonts w:ascii="Times New Roman" w:hAnsi="Times New Roman" w:cs="Times New Roman"/>
          <w:sz w:val="24"/>
          <w:szCs w:val="24"/>
        </w:rPr>
        <w:t xml:space="preserve">remodelé notre procédure afin que la lumière ne jaillisse plus tant de l’action secrète </w:t>
      </w:r>
      <w:r w:rsidR="00554A02">
        <w:rPr>
          <w:rFonts w:ascii="Times New Roman" w:hAnsi="Times New Roman" w:cs="Times New Roman"/>
          <w:sz w:val="24"/>
          <w:szCs w:val="24"/>
        </w:rPr>
        <w:t xml:space="preserve">d’un enquêteur </w:t>
      </w:r>
      <w:r w:rsidR="00FD30F6">
        <w:rPr>
          <w:rFonts w:ascii="Times New Roman" w:hAnsi="Times New Roman" w:cs="Times New Roman"/>
          <w:sz w:val="24"/>
          <w:szCs w:val="24"/>
        </w:rPr>
        <w:t xml:space="preserve">solitaire </w:t>
      </w:r>
      <w:r w:rsidR="00744167">
        <w:rPr>
          <w:rFonts w:ascii="Times New Roman" w:hAnsi="Times New Roman" w:cs="Times New Roman"/>
          <w:sz w:val="24"/>
          <w:szCs w:val="24"/>
        </w:rPr>
        <w:t xml:space="preserve">que </w:t>
      </w:r>
      <w:r w:rsidR="00811F17">
        <w:rPr>
          <w:rFonts w:ascii="Times New Roman" w:hAnsi="Times New Roman" w:cs="Times New Roman"/>
          <w:sz w:val="24"/>
          <w:szCs w:val="24"/>
        </w:rPr>
        <w:t>de la discussion publique</w:t>
      </w:r>
      <w:r w:rsidR="00744167">
        <w:rPr>
          <w:rFonts w:ascii="Times New Roman" w:hAnsi="Times New Roman" w:cs="Times New Roman"/>
          <w:sz w:val="24"/>
          <w:szCs w:val="24"/>
        </w:rPr>
        <w:t xml:space="preserve"> et contradictoire</w:t>
      </w:r>
      <w:r w:rsidR="00811F17">
        <w:rPr>
          <w:rFonts w:ascii="Times New Roman" w:hAnsi="Times New Roman" w:cs="Times New Roman"/>
          <w:sz w:val="24"/>
          <w:szCs w:val="24"/>
        </w:rPr>
        <w:t xml:space="preserve"> d’un </w:t>
      </w:r>
      <w:r w:rsidR="00FD30F6">
        <w:rPr>
          <w:rFonts w:ascii="Times New Roman" w:hAnsi="Times New Roman" w:cs="Times New Roman"/>
          <w:sz w:val="24"/>
          <w:szCs w:val="24"/>
        </w:rPr>
        <w:t xml:space="preserve">véritable </w:t>
      </w:r>
      <w:r w:rsidR="00811F17">
        <w:rPr>
          <w:rFonts w:ascii="Times New Roman" w:hAnsi="Times New Roman" w:cs="Times New Roman"/>
          <w:sz w:val="24"/>
          <w:szCs w:val="24"/>
        </w:rPr>
        <w:t>avant-procès.</w:t>
      </w:r>
    </w:p>
    <w:p w:rsidR="00DE24FE" w:rsidRDefault="00DE24FE" w:rsidP="007D57E5">
      <w:pPr>
        <w:spacing w:after="0" w:line="360" w:lineRule="auto"/>
        <w:jc w:val="both"/>
        <w:rPr>
          <w:rFonts w:ascii="Times New Roman" w:hAnsi="Times New Roman" w:cs="Times New Roman"/>
          <w:sz w:val="24"/>
          <w:szCs w:val="24"/>
        </w:rPr>
      </w:pPr>
    </w:p>
    <w:p w:rsidR="007D57E5" w:rsidRDefault="00313CE6" w:rsidP="007D57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 telle sorte</w:t>
      </w:r>
      <w:r w:rsidR="00811F17">
        <w:rPr>
          <w:rFonts w:ascii="Times New Roman" w:hAnsi="Times New Roman" w:cs="Times New Roman"/>
          <w:sz w:val="24"/>
          <w:szCs w:val="24"/>
        </w:rPr>
        <w:t>,</w:t>
      </w:r>
      <w:r>
        <w:rPr>
          <w:rFonts w:ascii="Times New Roman" w:hAnsi="Times New Roman" w:cs="Times New Roman"/>
          <w:sz w:val="24"/>
          <w:szCs w:val="24"/>
        </w:rPr>
        <w:t xml:space="preserve"> </w:t>
      </w:r>
      <w:r w:rsidR="00744167">
        <w:rPr>
          <w:rFonts w:ascii="Times New Roman" w:hAnsi="Times New Roman" w:cs="Times New Roman"/>
          <w:sz w:val="24"/>
          <w:szCs w:val="24"/>
        </w:rPr>
        <w:t>notamment</w:t>
      </w:r>
      <w:r w:rsidR="00811F17">
        <w:rPr>
          <w:rFonts w:ascii="Times New Roman" w:hAnsi="Times New Roman" w:cs="Times New Roman"/>
          <w:sz w:val="24"/>
          <w:szCs w:val="24"/>
        </w:rPr>
        <w:t>,</w:t>
      </w:r>
      <w:r w:rsidR="00744167">
        <w:rPr>
          <w:rFonts w:ascii="Times New Roman" w:hAnsi="Times New Roman" w:cs="Times New Roman"/>
          <w:sz w:val="24"/>
          <w:szCs w:val="24"/>
        </w:rPr>
        <w:t xml:space="preserve"> </w:t>
      </w:r>
      <w:r>
        <w:rPr>
          <w:rFonts w:ascii="Times New Roman" w:hAnsi="Times New Roman" w:cs="Times New Roman"/>
          <w:sz w:val="24"/>
          <w:szCs w:val="24"/>
        </w:rPr>
        <w:t>que l</w:t>
      </w:r>
      <w:r w:rsidR="00124519">
        <w:rPr>
          <w:rFonts w:ascii="Times New Roman" w:hAnsi="Times New Roman" w:cs="Times New Roman"/>
          <w:sz w:val="24"/>
          <w:szCs w:val="24"/>
        </w:rPr>
        <w:t>’enquête et l’instruction ne sont plus, on l’</w:t>
      </w:r>
      <w:r w:rsidR="0073688D">
        <w:rPr>
          <w:rFonts w:ascii="Times New Roman" w:hAnsi="Times New Roman" w:cs="Times New Roman"/>
          <w:sz w:val="24"/>
          <w:szCs w:val="24"/>
        </w:rPr>
        <w:t>a dit, –</w:t>
      </w:r>
      <w:r w:rsidR="00124519">
        <w:rPr>
          <w:rFonts w:ascii="Times New Roman" w:hAnsi="Times New Roman" w:cs="Times New Roman"/>
          <w:sz w:val="24"/>
          <w:szCs w:val="24"/>
        </w:rPr>
        <w:t xml:space="preserve"> ou </w:t>
      </w:r>
      <w:r w:rsidR="0073688D">
        <w:rPr>
          <w:rFonts w:ascii="Times New Roman" w:hAnsi="Times New Roman" w:cs="Times New Roman"/>
          <w:sz w:val="24"/>
          <w:szCs w:val="24"/>
        </w:rPr>
        <w:t>sont de moins en moins</w:t>
      </w:r>
      <w:r w:rsidR="00124519">
        <w:rPr>
          <w:rFonts w:ascii="Times New Roman" w:hAnsi="Times New Roman" w:cs="Times New Roman"/>
          <w:sz w:val="24"/>
          <w:szCs w:val="24"/>
        </w:rPr>
        <w:t xml:space="preserve"> </w:t>
      </w:r>
      <w:r w:rsidR="0073688D">
        <w:rPr>
          <w:rFonts w:ascii="Times New Roman" w:hAnsi="Times New Roman" w:cs="Times New Roman"/>
          <w:sz w:val="24"/>
          <w:szCs w:val="24"/>
        </w:rPr>
        <w:t>–</w:t>
      </w:r>
      <w:r w:rsidR="00FD30F6">
        <w:rPr>
          <w:rFonts w:ascii="Times New Roman" w:hAnsi="Times New Roman" w:cs="Times New Roman"/>
          <w:sz w:val="24"/>
          <w:szCs w:val="24"/>
        </w:rPr>
        <w:t>,</w:t>
      </w:r>
      <w:r w:rsidR="0073688D">
        <w:rPr>
          <w:rFonts w:ascii="Times New Roman" w:hAnsi="Times New Roman" w:cs="Times New Roman"/>
          <w:sz w:val="24"/>
          <w:szCs w:val="24"/>
        </w:rPr>
        <w:t xml:space="preserve"> </w:t>
      </w:r>
      <w:r w:rsidR="00124519">
        <w:rPr>
          <w:rFonts w:ascii="Times New Roman" w:hAnsi="Times New Roman" w:cs="Times New Roman"/>
          <w:sz w:val="24"/>
          <w:szCs w:val="24"/>
        </w:rPr>
        <w:t xml:space="preserve">des cadres si distincts, quand l’on considère les garanties </w:t>
      </w:r>
      <w:r w:rsidR="0073688D">
        <w:rPr>
          <w:rFonts w:ascii="Times New Roman" w:hAnsi="Times New Roman" w:cs="Times New Roman"/>
          <w:sz w:val="24"/>
          <w:szCs w:val="24"/>
        </w:rPr>
        <w:t>qu’elles offrent</w:t>
      </w:r>
      <w:r w:rsidR="00A750DE">
        <w:rPr>
          <w:rFonts w:ascii="Times New Roman" w:hAnsi="Times New Roman" w:cs="Times New Roman"/>
          <w:sz w:val="24"/>
          <w:szCs w:val="24"/>
        </w:rPr>
        <w:t xml:space="preserve">, à ce jour, </w:t>
      </w:r>
      <w:r w:rsidR="00124519">
        <w:rPr>
          <w:rFonts w:ascii="Times New Roman" w:hAnsi="Times New Roman" w:cs="Times New Roman"/>
          <w:sz w:val="24"/>
          <w:szCs w:val="24"/>
        </w:rPr>
        <w:t>tant à la victime qu’au mis en cause.</w:t>
      </w:r>
      <w:r w:rsidR="005E686C">
        <w:rPr>
          <w:rFonts w:ascii="Times New Roman" w:hAnsi="Times New Roman" w:cs="Times New Roman"/>
          <w:sz w:val="24"/>
          <w:szCs w:val="24"/>
        </w:rPr>
        <w:t xml:space="preserve"> Ce </w:t>
      </w:r>
      <w:r w:rsidR="0073688D">
        <w:rPr>
          <w:rFonts w:ascii="Times New Roman" w:hAnsi="Times New Roman" w:cs="Times New Roman"/>
          <w:sz w:val="24"/>
          <w:szCs w:val="24"/>
        </w:rPr>
        <w:t xml:space="preserve">qui </w:t>
      </w:r>
      <w:r w:rsidR="00811F17">
        <w:rPr>
          <w:rFonts w:ascii="Times New Roman" w:hAnsi="Times New Roman" w:cs="Times New Roman"/>
          <w:sz w:val="24"/>
          <w:szCs w:val="24"/>
        </w:rPr>
        <w:t>n’</w:t>
      </w:r>
      <w:r w:rsidR="0073688D">
        <w:rPr>
          <w:rFonts w:ascii="Times New Roman" w:hAnsi="Times New Roman" w:cs="Times New Roman"/>
          <w:sz w:val="24"/>
          <w:szCs w:val="24"/>
        </w:rPr>
        <w:t>apparaît</w:t>
      </w:r>
      <w:r w:rsidR="005E686C">
        <w:rPr>
          <w:rFonts w:ascii="Times New Roman" w:hAnsi="Times New Roman" w:cs="Times New Roman"/>
          <w:sz w:val="24"/>
          <w:szCs w:val="24"/>
        </w:rPr>
        <w:t xml:space="preserve"> </w:t>
      </w:r>
      <w:r w:rsidR="00811F17">
        <w:rPr>
          <w:rFonts w:ascii="Times New Roman" w:hAnsi="Times New Roman" w:cs="Times New Roman"/>
          <w:sz w:val="24"/>
          <w:szCs w:val="24"/>
        </w:rPr>
        <w:t>pas si iconoclaste</w:t>
      </w:r>
      <w:r w:rsidR="005E686C">
        <w:rPr>
          <w:rFonts w:ascii="Times New Roman" w:hAnsi="Times New Roman" w:cs="Times New Roman"/>
          <w:sz w:val="24"/>
          <w:szCs w:val="24"/>
        </w:rPr>
        <w:t xml:space="preserve"> puisque, même à résister à</w:t>
      </w:r>
      <w:r w:rsidR="00DF44ED">
        <w:rPr>
          <w:rFonts w:ascii="Times New Roman" w:hAnsi="Times New Roman" w:cs="Times New Roman"/>
          <w:sz w:val="24"/>
          <w:szCs w:val="24"/>
        </w:rPr>
        <w:t xml:space="preserve"> cette indétermination des phases </w:t>
      </w:r>
      <w:r w:rsidR="0073688D">
        <w:rPr>
          <w:rFonts w:ascii="Times New Roman" w:hAnsi="Times New Roman" w:cs="Times New Roman"/>
          <w:sz w:val="24"/>
          <w:szCs w:val="24"/>
        </w:rPr>
        <w:t xml:space="preserve">à laquelle conduit </w:t>
      </w:r>
      <w:r w:rsidR="00A76000">
        <w:rPr>
          <w:rFonts w:ascii="Times New Roman" w:hAnsi="Times New Roman" w:cs="Times New Roman"/>
          <w:sz w:val="24"/>
          <w:szCs w:val="24"/>
        </w:rPr>
        <w:t xml:space="preserve">presque </w:t>
      </w:r>
      <w:r w:rsidR="0073688D">
        <w:rPr>
          <w:rFonts w:ascii="Times New Roman" w:hAnsi="Times New Roman" w:cs="Times New Roman"/>
          <w:sz w:val="24"/>
          <w:szCs w:val="24"/>
        </w:rPr>
        <w:t>inéluctablement</w:t>
      </w:r>
      <w:r w:rsidR="00DF44ED">
        <w:rPr>
          <w:rFonts w:ascii="Times New Roman" w:hAnsi="Times New Roman" w:cs="Times New Roman"/>
          <w:sz w:val="24"/>
          <w:szCs w:val="24"/>
        </w:rPr>
        <w:t xml:space="preserve"> </w:t>
      </w:r>
      <w:r w:rsidR="00DF44ED">
        <w:rPr>
          <w:rFonts w:ascii="Times New Roman" w:hAnsi="Times New Roman" w:cs="Times New Roman"/>
          <w:sz w:val="24"/>
          <w:szCs w:val="24"/>
        </w:rPr>
        <w:lastRenderedPageBreak/>
        <w:t>le procès équitable</w:t>
      </w:r>
      <w:r w:rsidR="005E686C">
        <w:rPr>
          <w:rFonts w:ascii="Times New Roman" w:hAnsi="Times New Roman" w:cs="Times New Roman"/>
          <w:sz w:val="24"/>
          <w:szCs w:val="24"/>
        </w:rPr>
        <w:t xml:space="preserve">, il </w:t>
      </w:r>
      <w:r w:rsidR="0073688D">
        <w:rPr>
          <w:rFonts w:ascii="Times New Roman" w:hAnsi="Times New Roman" w:cs="Times New Roman"/>
          <w:sz w:val="24"/>
          <w:szCs w:val="24"/>
        </w:rPr>
        <w:t>semble</w:t>
      </w:r>
      <w:r w:rsidR="005E686C">
        <w:rPr>
          <w:rFonts w:ascii="Times New Roman" w:hAnsi="Times New Roman" w:cs="Times New Roman"/>
          <w:sz w:val="24"/>
          <w:szCs w:val="24"/>
        </w:rPr>
        <w:t xml:space="preserve"> difficile de contester que l’instruction </w:t>
      </w:r>
      <w:r w:rsidR="00811F17">
        <w:rPr>
          <w:rFonts w:ascii="Times New Roman" w:hAnsi="Times New Roman" w:cs="Times New Roman"/>
          <w:sz w:val="24"/>
          <w:szCs w:val="24"/>
        </w:rPr>
        <w:t>ne soit</w:t>
      </w:r>
      <w:r w:rsidR="005E686C">
        <w:rPr>
          <w:rFonts w:ascii="Times New Roman" w:hAnsi="Times New Roman" w:cs="Times New Roman"/>
          <w:sz w:val="24"/>
          <w:szCs w:val="24"/>
        </w:rPr>
        <w:t xml:space="preserve"> rien d’autre qu’une enquête améliorée. L’équité </w:t>
      </w:r>
      <w:r w:rsidR="0073688D">
        <w:rPr>
          <w:rFonts w:ascii="Times New Roman" w:hAnsi="Times New Roman" w:cs="Times New Roman"/>
          <w:sz w:val="24"/>
          <w:szCs w:val="24"/>
        </w:rPr>
        <w:t xml:space="preserve">et le bon sens </w:t>
      </w:r>
      <w:r w:rsidR="005E686C">
        <w:rPr>
          <w:rFonts w:ascii="Times New Roman" w:hAnsi="Times New Roman" w:cs="Times New Roman"/>
          <w:sz w:val="24"/>
          <w:szCs w:val="24"/>
        </w:rPr>
        <w:t>impos</w:t>
      </w:r>
      <w:r w:rsidR="00811F17">
        <w:rPr>
          <w:rFonts w:ascii="Times New Roman" w:hAnsi="Times New Roman" w:cs="Times New Roman"/>
          <w:sz w:val="24"/>
          <w:szCs w:val="24"/>
        </w:rPr>
        <w:t>ai</w:t>
      </w:r>
      <w:r w:rsidR="005E686C">
        <w:rPr>
          <w:rFonts w:ascii="Times New Roman" w:hAnsi="Times New Roman" w:cs="Times New Roman"/>
          <w:sz w:val="24"/>
          <w:szCs w:val="24"/>
        </w:rPr>
        <w:t>e</w:t>
      </w:r>
      <w:r w:rsidR="0073688D">
        <w:rPr>
          <w:rFonts w:ascii="Times New Roman" w:hAnsi="Times New Roman" w:cs="Times New Roman"/>
          <w:sz w:val="24"/>
          <w:szCs w:val="24"/>
        </w:rPr>
        <w:t>nt</w:t>
      </w:r>
      <w:r w:rsidR="005E686C">
        <w:rPr>
          <w:rFonts w:ascii="Times New Roman" w:hAnsi="Times New Roman" w:cs="Times New Roman"/>
          <w:sz w:val="24"/>
          <w:szCs w:val="24"/>
        </w:rPr>
        <w:t xml:space="preserve"> donc </w:t>
      </w:r>
      <w:r w:rsidR="004C28F6">
        <w:rPr>
          <w:rFonts w:ascii="Times New Roman" w:hAnsi="Times New Roman" w:cs="Times New Roman"/>
          <w:sz w:val="24"/>
          <w:szCs w:val="24"/>
        </w:rPr>
        <w:t>de</w:t>
      </w:r>
      <w:r w:rsidR="00472572">
        <w:rPr>
          <w:rFonts w:ascii="Times New Roman" w:hAnsi="Times New Roman" w:cs="Times New Roman"/>
          <w:sz w:val="24"/>
          <w:szCs w:val="24"/>
        </w:rPr>
        <w:t xml:space="preserve"> </w:t>
      </w:r>
      <w:r w:rsidR="00F019FA">
        <w:rPr>
          <w:rFonts w:ascii="Times New Roman" w:hAnsi="Times New Roman" w:cs="Times New Roman"/>
          <w:sz w:val="24"/>
          <w:szCs w:val="24"/>
        </w:rPr>
        <w:t xml:space="preserve">ne </w:t>
      </w:r>
      <w:r w:rsidR="00472572">
        <w:rPr>
          <w:rFonts w:ascii="Times New Roman" w:hAnsi="Times New Roman" w:cs="Times New Roman"/>
          <w:sz w:val="24"/>
          <w:szCs w:val="24"/>
        </w:rPr>
        <w:t xml:space="preserve">pas traiter différemment ceux qui font l’objet de l’une et </w:t>
      </w:r>
      <w:r w:rsidR="0073688D">
        <w:rPr>
          <w:rFonts w:ascii="Times New Roman" w:hAnsi="Times New Roman" w:cs="Times New Roman"/>
          <w:sz w:val="24"/>
          <w:szCs w:val="24"/>
        </w:rPr>
        <w:t xml:space="preserve">ceux qui font l’objet </w:t>
      </w:r>
      <w:r w:rsidR="00472572">
        <w:rPr>
          <w:rFonts w:ascii="Times New Roman" w:hAnsi="Times New Roman" w:cs="Times New Roman"/>
          <w:sz w:val="24"/>
          <w:szCs w:val="24"/>
        </w:rPr>
        <w:t>de l’autre</w:t>
      </w:r>
      <w:r w:rsidR="004C28F6">
        <w:rPr>
          <w:rFonts w:ascii="Times New Roman" w:hAnsi="Times New Roman" w:cs="Times New Roman"/>
          <w:sz w:val="24"/>
          <w:szCs w:val="24"/>
        </w:rPr>
        <w:t>, ce qui n’est</w:t>
      </w:r>
      <w:r w:rsidR="00A750DE">
        <w:rPr>
          <w:rFonts w:ascii="Times New Roman" w:hAnsi="Times New Roman" w:cs="Times New Roman"/>
          <w:sz w:val="24"/>
          <w:szCs w:val="24"/>
        </w:rPr>
        <w:t>, malgré tout,</w:t>
      </w:r>
      <w:r w:rsidR="004C28F6">
        <w:rPr>
          <w:rFonts w:ascii="Times New Roman" w:hAnsi="Times New Roman" w:cs="Times New Roman"/>
          <w:sz w:val="24"/>
          <w:szCs w:val="24"/>
        </w:rPr>
        <w:t xml:space="preserve"> pas encore tout à fait le cas</w:t>
      </w:r>
      <w:r w:rsidR="0073688D">
        <w:rPr>
          <w:rFonts w:ascii="Times New Roman" w:hAnsi="Times New Roman" w:cs="Times New Roman"/>
          <w:sz w:val="24"/>
          <w:szCs w:val="24"/>
        </w:rPr>
        <w:t xml:space="preserve"> en droit français</w:t>
      </w:r>
      <w:r w:rsidR="004C28F6">
        <w:rPr>
          <w:rFonts w:ascii="Times New Roman" w:hAnsi="Times New Roman" w:cs="Times New Roman"/>
          <w:sz w:val="24"/>
          <w:szCs w:val="24"/>
        </w:rPr>
        <w:t>.</w:t>
      </w:r>
    </w:p>
    <w:p w:rsidR="007D57E5" w:rsidRDefault="007D57E5" w:rsidP="007D57E5">
      <w:pPr>
        <w:spacing w:after="0" w:line="360" w:lineRule="auto"/>
        <w:jc w:val="both"/>
        <w:rPr>
          <w:rFonts w:ascii="Times New Roman" w:hAnsi="Times New Roman" w:cs="Times New Roman"/>
          <w:sz w:val="24"/>
          <w:szCs w:val="24"/>
        </w:rPr>
      </w:pPr>
    </w:p>
    <w:p w:rsidR="00C87EB3" w:rsidRDefault="00924BCA" w:rsidP="007D57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Précisément, où en sommes-nous de l’équilibre des droits entre mis en cause et victime, durant l’enquête et l’instruction </w:t>
      </w:r>
      <w:r w:rsidR="00DA0578">
        <w:rPr>
          <w:rFonts w:ascii="Times New Roman" w:hAnsi="Times New Roman" w:cs="Times New Roman"/>
          <w:sz w:val="24"/>
          <w:szCs w:val="24"/>
        </w:rPr>
        <w:t>(</w:t>
      </w:r>
      <w:r w:rsidR="00DA0578" w:rsidRPr="00DA0578">
        <w:rPr>
          <w:rFonts w:ascii="Times New Roman" w:hAnsi="Times New Roman" w:cs="Times New Roman"/>
          <w:b/>
          <w:sz w:val="24"/>
          <w:szCs w:val="24"/>
        </w:rPr>
        <w:t>I</w:t>
      </w:r>
      <w:r w:rsidR="00DA0578">
        <w:rPr>
          <w:rFonts w:ascii="Times New Roman" w:hAnsi="Times New Roman" w:cs="Times New Roman"/>
          <w:sz w:val="24"/>
          <w:szCs w:val="24"/>
        </w:rPr>
        <w:t xml:space="preserve">) </w:t>
      </w:r>
      <w:r>
        <w:rPr>
          <w:rFonts w:ascii="Times New Roman" w:hAnsi="Times New Roman" w:cs="Times New Roman"/>
          <w:sz w:val="24"/>
          <w:szCs w:val="24"/>
        </w:rPr>
        <w:t xml:space="preserve">? </w:t>
      </w:r>
      <w:r w:rsidR="00E75896">
        <w:rPr>
          <w:rFonts w:ascii="Times New Roman" w:hAnsi="Times New Roman" w:cs="Times New Roman"/>
          <w:sz w:val="24"/>
          <w:szCs w:val="24"/>
        </w:rPr>
        <w:t xml:space="preserve">Ces </w:t>
      </w:r>
      <w:r w:rsidR="000B0EEB">
        <w:rPr>
          <w:rFonts w:ascii="Times New Roman" w:hAnsi="Times New Roman" w:cs="Times New Roman"/>
          <w:sz w:val="24"/>
          <w:szCs w:val="24"/>
        </w:rPr>
        <w:t>phases ayant</w:t>
      </w:r>
      <w:r w:rsidR="00485194">
        <w:rPr>
          <w:rFonts w:ascii="Times New Roman" w:hAnsi="Times New Roman" w:cs="Times New Roman"/>
          <w:sz w:val="24"/>
          <w:szCs w:val="24"/>
        </w:rPr>
        <w:t>, au surplus,</w:t>
      </w:r>
      <w:r w:rsidR="000B0EEB">
        <w:rPr>
          <w:rFonts w:ascii="Times New Roman" w:hAnsi="Times New Roman" w:cs="Times New Roman"/>
          <w:sz w:val="24"/>
          <w:szCs w:val="24"/>
        </w:rPr>
        <w:t xml:space="preserve"> pour particularité</w:t>
      </w:r>
      <w:r w:rsidR="00F30A9F">
        <w:rPr>
          <w:rFonts w:ascii="Times New Roman" w:hAnsi="Times New Roman" w:cs="Times New Roman"/>
          <w:sz w:val="24"/>
          <w:szCs w:val="24"/>
        </w:rPr>
        <w:t xml:space="preserve"> </w:t>
      </w:r>
      <w:r w:rsidR="00DA0578">
        <w:rPr>
          <w:rFonts w:ascii="Times New Roman" w:hAnsi="Times New Roman" w:cs="Times New Roman"/>
          <w:sz w:val="24"/>
          <w:szCs w:val="24"/>
        </w:rPr>
        <w:t>de constituer</w:t>
      </w:r>
      <w:r w:rsidR="00F30A9F">
        <w:rPr>
          <w:rFonts w:ascii="Times New Roman" w:hAnsi="Times New Roman" w:cs="Times New Roman"/>
          <w:sz w:val="24"/>
          <w:szCs w:val="24"/>
        </w:rPr>
        <w:t xml:space="preserve"> </w:t>
      </w:r>
      <w:r w:rsidR="00D75E99">
        <w:rPr>
          <w:rFonts w:ascii="Times New Roman" w:hAnsi="Times New Roman" w:cs="Times New Roman"/>
          <w:sz w:val="24"/>
          <w:szCs w:val="24"/>
        </w:rPr>
        <w:t>la voie d’accès à celle d’après</w:t>
      </w:r>
      <w:r w:rsidR="000B0EEB">
        <w:rPr>
          <w:rFonts w:ascii="Times New Roman" w:hAnsi="Times New Roman" w:cs="Times New Roman"/>
          <w:sz w:val="24"/>
          <w:szCs w:val="24"/>
        </w:rPr>
        <w:t xml:space="preserve">, </w:t>
      </w:r>
      <w:r w:rsidR="00D75E99">
        <w:rPr>
          <w:rFonts w:ascii="Times New Roman" w:hAnsi="Times New Roman" w:cs="Times New Roman"/>
          <w:sz w:val="24"/>
          <w:szCs w:val="24"/>
        </w:rPr>
        <w:t xml:space="preserve">leur issue marquant donc un commencement tout autant qu’une fin, </w:t>
      </w:r>
      <w:r w:rsidR="00485194">
        <w:rPr>
          <w:rFonts w:ascii="Times New Roman" w:hAnsi="Times New Roman" w:cs="Times New Roman"/>
          <w:sz w:val="24"/>
          <w:szCs w:val="24"/>
        </w:rPr>
        <w:t xml:space="preserve">ce moment stratégique doit également </w:t>
      </w:r>
      <w:r w:rsidR="00400C42">
        <w:rPr>
          <w:rFonts w:ascii="Times New Roman" w:hAnsi="Times New Roman" w:cs="Times New Roman"/>
          <w:sz w:val="24"/>
          <w:szCs w:val="24"/>
        </w:rPr>
        <w:t xml:space="preserve">être </w:t>
      </w:r>
      <w:r w:rsidR="00DA0578">
        <w:rPr>
          <w:rFonts w:ascii="Times New Roman" w:hAnsi="Times New Roman" w:cs="Times New Roman"/>
          <w:sz w:val="24"/>
          <w:szCs w:val="24"/>
        </w:rPr>
        <w:t>analysé (</w:t>
      </w:r>
      <w:r w:rsidR="00DA0578" w:rsidRPr="00DA0578">
        <w:rPr>
          <w:rFonts w:ascii="Times New Roman" w:hAnsi="Times New Roman" w:cs="Times New Roman"/>
          <w:b/>
          <w:sz w:val="24"/>
          <w:szCs w:val="24"/>
        </w:rPr>
        <w:t>II</w:t>
      </w:r>
      <w:r w:rsidR="00DA0578">
        <w:rPr>
          <w:rFonts w:ascii="Times New Roman" w:hAnsi="Times New Roman" w:cs="Times New Roman"/>
          <w:sz w:val="24"/>
          <w:szCs w:val="24"/>
        </w:rPr>
        <w:t>).</w:t>
      </w:r>
    </w:p>
    <w:p w:rsidR="00124519" w:rsidRDefault="00124519" w:rsidP="007D57E5">
      <w:pPr>
        <w:spacing w:after="0" w:line="360" w:lineRule="auto"/>
        <w:jc w:val="both"/>
        <w:rPr>
          <w:rFonts w:ascii="Times New Roman" w:hAnsi="Times New Roman" w:cs="Times New Roman"/>
          <w:sz w:val="24"/>
          <w:szCs w:val="24"/>
        </w:rPr>
      </w:pPr>
    </w:p>
    <w:p w:rsidR="000F343A" w:rsidRPr="000B0EEB" w:rsidRDefault="000F343A" w:rsidP="007D57E5">
      <w:pPr>
        <w:spacing w:after="0" w:line="360" w:lineRule="auto"/>
        <w:jc w:val="both"/>
        <w:rPr>
          <w:rFonts w:ascii="Times New Roman" w:hAnsi="Times New Roman" w:cs="Times New Roman"/>
          <w:b/>
          <w:sz w:val="24"/>
          <w:szCs w:val="24"/>
        </w:rPr>
      </w:pPr>
      <w:r w:rsidRPr="000B0EEB">
        <w:rPr>
          <w:rFonts w:ascii="Times New Roman" w:hAnsi="Times New Roman" w:cs="Times New Roman"/>
          <w:b/>
          <w:sz w:val="24"/>
          <w:szCs w:val="24"/>
        </w:rPr>
        <w:t xml:space="preserve">I. </w:t>
      </w:r>
      <w:r w:rsidR="00DA0578">
        <w:rPr>
          <w:rFonts w:ascii="Times New Roman" w:hAnsi="Times New Roman" w:cs="Times New Roman"/>
          <w:b/>
          <w:sz w:val="24"/>
          <w:szCs w:val="24"/>
        </w:rPr>
        <w:t xml:space="preserve">Les droits des parties </w:t>
      </w:r>
      <w:r w:rsidR="00A750DE">
        <w:rPr>
          <w:rFonts w:ascii="Times New Roman" w:hAnsi="Times New Roman" w:cs="Times New Roman"/>
          <w:b/>
          <w:sz w:val="24"/>
          <w:szCs w:val="24"/>
        </w:rPr>
        <w:t xml:space="preserve">privées </w:t>
      </w:r>
      <w:r w:rsidR="00DA0578">
        <w:rPr>
          <w:rFonts w:ascii="Times New Roman" w:hAnsi="Times New Roman" w:cs="Times New Roman"/>
          <w:b/>
          <w:sz w:val="24"/>
          <w:szCs w:val="24"/>
        </w:rPr>
        <w:t>durant l’enquête et l’instruction</w:t>
      </w:r>
    </w:p>
    <w:p w:rsidR="000F343A" w:rsidRDefault="000F343A" w:rsidP="007D57E5">
      <w:pPr>
        <w:spacing w:after="0" w:line="360" w:lineRule="auto"/>
        <w:jc w:val="both"/>
        <w:rPr>
          <w:rFonts w:ascii="Times New Roman" w:hAnsi="Times New Roman" w:cs="Times New Roman"/>
          <w:sz w:val="24"/>
          <w:szCs w:val="24"/>
        </w:rPr>
      </w:pPr>
    </w:p>
    <w:p w:rsidR="00A750DE" w:rsidRDefault="000B7931" w:rsidP="007D57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S’il peut paraître prématuré, au moins durant l’enquête, de parler de « parties au procès pénal » à l’égard du mis en cause et</w:t>
      </w:r>
      <w:r w:rsidR="00EE6927">
        <w:rPr>
          <w:rFonts w:ascii="Times New Roman" w:hAnsi="Times New Roman" w:cs="Times New Roman"/>
          <w:sz w:val="24"/>
          <w:szCs w:val="24"/>
        </w:rPr>
        <w:t xml:space="preserve"> de</w:t>
      </w:r>
      <w:r>
        <w:rPr>
          <w:rFonts w:ascii="Times New Roman" w:hAnsi="Times New Roman" w:cs="Times New Roman"/>
          <w:sz w:val="24"/>
          <w:szCs w:val="24"/>
        </w:rPr>
        <w:t xml:space="preserve"> la victime, il reste que </w:t>
      </w:r>
      <w:r w:rsidR="00EE6927">
        <w:rPr>
          <w:rFonts w:ascii="Times New Roman" w:hAnsi="Times New Roman" w:cs="Times New Roman"/>
          <w:sz w:val="24"/>
          <w:szCs w:val="24"/>
        </w:rPr>
        <w:t>l’un et l’autre</w:t>
      </w:r>
      <w:r>
        <w:rPr>
          <w:rFonts w:ascii="Times New Roman" w:hAnsi="Times New Roman" w:cs="Times New Roman"/>
          <w:sz w:val="24"/>
          <w:szCs w:val="24"/>
        </w:rPr>
        <w:t xml:space="preserve"> sont bien, </w:t>
      </w:r>
      <w:r w:rsidR="00CB0BA5">
        <w:rPr>
          <w:rFonts w:ascii="Times New Roman" w:hAnsi="Times New Roman" w:cs="Times New Roman"/>
          <w:sz w:val="24"/>
          <w:szCs w:val="24"/>
        </w:rPr>
        <w:t xml:space="preserve">en face ou </w:t>
      </w:r>
      <w:r>
        <w:rPr>
          <w:rFonts w:ascii="Times New Roman" w:hAnsi="Times New Roman" w:cs="Times New Roman"/>
          <w:sz w:val="24"/>
          <w:szCs w:val="24"/>
        </w:rPr>
        <w:t xml:space="preserve">à côté </w:t>
      </w:r>
      <w:r w:rsidR="00EE6927">
        <w:rPr>
          <w:rFonts w:ascii="Times New Roman" w:hAnsi="Times New Roman" w:cs="Times New Roman"/>
          <w:sz w:val="24"/>
          <w:szCs w:val="24"/>
        </w:rPr>
        <w:t>du ministère</w:t>
      </w:r>
      <w:r>
        <w:rPr>
          <w:rFonts w:ascii="Times New Roman" w:hAnsi="Times New Roman" w:cs="Times New Roman"/>
          <w:sz w:val="24"/>
          <w:szCs w:val="24"/>
        </w:rPr>
        <w:t xml:space="preserve"> public, les deux protagonistes</w:t>
      </w:r>
      <w:r w:rsidR="005B0C2D">
        <w:rPr>
          <w:rFonts w:ascii="Times New Roman" w:hAnsi="Times New Roman" w:cs="Times New Roman"/>
          <w:sz w:val="24"/>
          <w:szCs w:val="24"/>
        </w:rPr>
        <w:t xml:space="preserve"> </w:t>
      </w:r>
      <w:r w:rsidR="00EE6927">
        <w:rPr>
          <w:rFonts w:ascii="Times New Roman" w:hAnsi="Times New Roman" w:cs="Times New Roman"/>
          <w:sz w:val="24"/>
          <w:szCs w:val="24"/>
        </w:rPr>
        <w:t xml:space="preserve">privés </w:t>
      </w:r>
      <w:r w:rsidR="005B0C2D">
        <w:rPr>
          <w:rFonts w:ascii="Times New Roman" w:hAnsi="Times New Roman" w:cs="Times New Roman"/>
          <w:sz w:val="24"/>
          <w:szCs w:val="24"/>
        </w:rPr>
        <w:t xml:space="preserve">de </w:t>
      </w:r>
      <w:r w:rsidR="00EE6927">
        <w:rPr>
          <w:rFonts w:ascii="Times New Roman" w:hAnsi="Times New Roman" w:cs="Times New Roman"/>
          <w:sz w:val="24"/>
          <w:szCs w:val="24"/>
        </w:rPr>
        <w:t>toute</w:t>
      </w:r>
      <w:r w:rsidR="005B0C2D">
        <w:rPr>
          <w:rFonts w:ascii="Times New Roman" w:hAnsi="Times New Roman" w:cs="Times New Roman"/>
          <w:sz w:val="24"/>
          <w:szCs w:val="24"/>
        </w:rPr>
        <w:t xml:space="preserve"> procédure pénale</w:t>
      </w:r>
      <w:r w:rsidR="0023322B">
        <w:rPr>
          <w:rStyle w:val="Appelnotedebasdep"/>
          <w:rFonts w:ascii="Times New Roman" w:hAnsi="Times New Roman" w:cs="Times New Roman"/>
          <w:sz w:val="24"/>
          <w:szCs w:val="24"/>
        </w:rPr>
        <w:footnoteReference w:id="1"/>
      </w:r>
      <w:r>
        <w:rPr>
          <w:rFonts w:ascii="Times New Roman" w:hAnsi="Times New Roman" w:cs="Times New Roman"/>
          <w:sz w:val="24"/>
          <w:szCs w:val="24"/>
        </w:rPr>
        <w:t>. En ce sens</w:t>
      </w:r>
      <w:r w:rsidR="00EE6927">
        <w:rPr>
          <w:rFonts w:ascii="Times New Roman" w:hAnsi="Times New Roman" w:cs="Times New Roman"/>
          <w:sz w:val="24"/>
          <w:szCs w:val="24"/>
        </w:rPr>
        <w:t>,</w:t>
      </w:r>
      <w:r>
        <w:rPr>
          <w:rFonts w:ascii="Times New Roman" w:hAnsi="Times New Roman" w:cs="Times New Roman"/>
          <w:sz w:val="24"/>
          <w:szCs w:val="24"/>
        </w:rPr>
        <w:t xml:space="preserve"> des prérogatives leur sont-elles accordées </w:t>
      </w:r>
      <w:r w:rsidR="00EE6927">
        <w:rPr>
          <w:rFonts w:ascii="Times New Roman" w:hAnsi="Times New Roman" w:cs="Times New Roman"/>
          <w:sz w:val="24"/>
          <w:szCs w:val="24"/>
        </w:rPr>
        <w:t xml:space="preserve">dès ces phases préliminaires, quand bien même </w:t>
      </w:r>
      <w:r w:rsidR="00CB0BA5">
        <w:rPr>
          <w:rFonts w:ascii="Times New Roman" w:hAnsi="Times New Roman" w:cs="Times New Roman"/>
          <w:sz w:val="24"/>
          <w:szCs w:val="24"/>
        </w:rPr>
        <w:t>celles-ci</w:t>
      </w:r>
      <w:r w:rsidR="00EE6927">
        <w:rPr>
          <w:rFonts w:ascii="Times New Roman" w:hAnsi="Times New Roman" w:cs="Times New Roman"/>
          <w:sz w:val="24"/>
          <w:szCs w:val="24"/>
        </w:rPr>
        <w:t xml:space="preserve"> ne </w:t>
      </w:r>
      <w:r w:rsidR="00CB0BA5">
        <w:rPr>
          <w:rFonts w:ascii="Times New Roman" w:hAnsi="Times New Roman" w:cs="Times New Roman"/>
          <w:sz w:val="24"/>
          <w:szCs w:val="24"/>
        </w:rPr>
        <w:t>conduisent</w:t>
      </w:r>
      <w:r w:rsidR="00EE6927">
        <w:rPr>
          <w:rFonts w:ascii="Times New Roman" w:hAnsi="Times New Roman" w:cs="Times New Roman"/>
          <w:sz w:val="24"/>
          <w:szCs w:val="24"/>
        </w:rPr>
        <w:t xml:space="preserve"> pas </w:t>
      </w:r>
      <w:r w:rsidR="00CB0BA5">
        <w:rPr>
          <w:rFonts w:ascii="Times New Roman" w:hAnsi="Times New Roman" w:cs="Times New Roman"/>
          <w:sz w:val="24"/>
          <w:szCs w:val="24"/>
        </w:rPr>
        <w:t>inéluctablement</w:t>
      </w:r>
      <w:r w:rsidR="00EE6927">
        <w:rPr>
          <w:rFonts w:ascii="Times New Roman" w:hAnsi="Times New Roman" w:cs="Times New Roman"/>
          <w:sz w:val="24"/>
          <w:szCs w:val="24"/>
        </w:rPr>
        <w:t xml:space="preserve"> à un procès au sens strict.</w:t>
      </w:r>
    </w:p>
    <w:p w:rsidR="00A750DE" w:rsidRDefault="00A750DE" w:rsidP="007D57E5">
      <w:pPr>
        <w:spacing w:after="0" w:line="360" w:lineRule="auto"/>
        <w:jc w:val="both"/>
        <w:rPr>
          <w:rFonts w:ascii="Times New Roman" w:hAnsi="Times New Roman" w:cs="Times New Roman"/>
          <w:sz w:val="24"/>
          <w:szCs w:val="24"/>
        </w:rPr>
      </w:pPr>
    </w:p>
    <w:p w:rsidR="000B0EEB" w:rsidRDefault="00CB0BA5" w:rsidP="007D57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L’essor de ces prérogatives</w:t>
      </w:r>
      <w:r w:rsidR="00A76000">
        <w:rPr>
          <w:rFonts w:ascii="Times New Roman" w:hAnsi="Times New Roman" w:cs="Times New Roman"/>
          <w:sz w:val="24"/>
          <w:szCs w:val="24"/>
        </w:rPr>
        <w:t>, par recherche d’une procédure plus équitable,</w:t>
      </w:r>
      <w:r>
        <w:rPr>
          <w:rFonts w:ascii="Times New Roman" w:hAnsi="Times New Roman" w:cs="Times New Roman"/>
          <w:sz w:val="24"/>
          <w:szCs w:val="24"/>
        </w:rPr>
        <w:t xml:space="preserve"> est un phénomène contemporain</w:t>
      </w:r>
      <w:r w:rsidR="0023322B">
        <w:rPr>
          <w:rFonts w:ascii="Times New Roman" w:hAnsi="Times New Roman" w:cs="Times New Roman"/>
          <w:sz w:val="24"/>
          <w:szCs w:val="24"/>
        </w:rPr>
        <w:t>,</w:t>
      </w:r>
      <w:r>
        <w:rPr>
          <w:rFonts w:ascii="Times New Roman" w:hAnsi="Times New Roman" w:cs="Times New Roman"/>
          <w:sz w:val="24"/>
          <w:szCs w:val="24"/>
        </w:rPr>
        <w:t xml:space="preserve"> </w:t>
      </w:r>
      <w:r w:rsidR="00A76000">
        <w:rPr>
          <w:rFonts w:ascii="Times New Roman" w:hAnsi="Times New Roman" w:cs="Times New Roman"/>
          <w:sz w:val="24"/>
          <w:szCs w:val="24"/>
        </w:rPr>
        <w:t>mais encore inachevé. Ainsi les parties privées disposent-elles, dans des proportions différentes</w:t>
      </w:r>
      <w:r w:rsidR="0023322B">
        <w:rPr>
          <w:rFonts w:ascii="Times New Roman" w:hAnsi="Times New Roman" w:cs="Times New Roman"/>
          <w:sz w:val="24"/>
          <w:szCs w:val="24"/>
        </w:rPr>
        <w:t xml:space="preserve"> et de façon plus ou moins effective</w:t>
      </w:r>
      <w:r w:rsidR="00A76000">
        <w:rPr>
          <w:rFonts w:ascii="Times New Roman" w:hAnsi="Times New Roman" w:cs="Times New Roman"/>
          <w:sz w:val="24"/>
          <w:szCs w:val="24"/>
        </w:rPr>
        <w:t xml:space="preserve">, </w:t>
      </w:r>
      <w:r w:rsidR="0023322B">
        <w:rPr>
          <w:rFonts w:ascii="Times New Roman" w:hAnsi="Times New Roman" w:cs="Times New Roman"/>
          <w:sz w:val="24"/>
          <w:szCs w:val="24"/>
        </w:rPr>
        <w:t xml:space="preserve">selon les phases ou leur statut respectif, </w:t>
      </w:r>
      <w:r w:rsidR="0039381C">
        <w:rPr>
          <w:rFonts w:ascii="Times New Roman" w:hAnsi="Times New Roman" w:cs="Times New Roman"/>
          <w:sz w:val="24"/>
          <w:szCs w:val="24"/>
        </w:rPr>
        <w:t>d’un droit à l’information</w:t>
      </w:r>
      <w:r w:rsidR="00A76000">
        <w:rPr>
          <w:rFonts w:ascii="Times New Roman" w:hAnsi="Times New Roman" w:cs="Times New Roman"/>
          <w:sz w:val="24"/>
          <w:szCs w:val="24"/>
        </w:rPr>
        <w:t xml:space="preserve">, </w:t>
      </w:r>
      <w:r w:rsidR="0023322B">
        <w:rPr>
          <w:rFonts w:ascii="Times New Roman" w:hAnsi="Times New Roman" w:cs="Times New Roman"/>
          <w:sz w:val="24"/>
          <w:szCs w:val="24"/>
        </w:rPr>
        <w:t>du droit</w:t>
      </w:r>
      <w:r w:rsidR="0039381C">
        <w:rPr>
          <w:rFonts w:ascii="Times New Roman" w:hAnsi="Times New Roman" w:cs="Times New Roman"/>
          <w:sz w:val="24"/>
          <w:szCs w:val="24"/>
        </w:rPr>
        <w:t xml:space="preserve"> d’être assisté d’un défenseur</w:t>
      </w:r>
      <w:r w:rsidR="0023322B">
        <w:rPr>
          <w:rFonts w:ascii="Times New Roman" w:hAnsi="Times New Roman" w:cs="Times New Roman"/>
          <w:sz w:val="24"/>
          <w:szCs w:val="24"/>
        </w:rPr>
        <w:t>, ainsi que du droit d’inter</w:t>
      </w:r>
      <w:r w:rsidR="0039381C">
        <w:rPr>
          <w:rFonts w:ascii="Times New Roman" w:hAnsi="Times New Roman" w:cs="Times New Roman"/>
          <w:sz w:val="24"/>
          <w:szCs w:val="24"/>
        </w:rPr>
        <w:t>venir dans la procédure pénale</w:t>
      </w:r>
      <w:r w:rsidR="0023322B">
        <w:rPr>
          <w:rFonts w:ascii="Times New Roman" w:hAnsi="Times New Roman" w:cs="Times New Roman"/>
          <w:sz w:val="24"/>
          <w:szCs w:val="24"/>
        </w:rPr>
        <w:t>.</w:t>
      </w:r>
    </w:p>
    <w:p w:rsidR="00A76000" w:rsidRDefault="00A76000" w:rsidP="007D57E5">
      <w:pPr>
        <w:spacing w:after="0" w:line="360" w:lineRule="auto"/>
        <w:jc w:val="both"/>
        <w:rPr>
          <w:rFonts w:ascii="Times New Roman" w:hAnsi="Times New Roman" w:cs="Times New Roman"/>
          <w:b/>
          <w:sz w:val="24"/>
          <w:szCs w:val="24"/>
        </w:rPr>
      </w:pPr>
    </w:p>
    <w:p w:rsidR="00DD444E" w:rsidRPr="00DD444E" w:rsidRDefault="0039381C" w:rsidP="00DD44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D’abord, e</w:t>
      </w:r>
      <w:r w:rsidR="00B97A68" w:rsidRPr="00DD444E">
        <w:rPr>
          <w:rFonts w:ascii="Times New Roman" w:hAnsi="Times New Roman" w:cs="Times New Roman"/>
          <w:sz w:val="24"/>
          <w:szCs w:val="24"/>
        </w:rPr>
        <w:t xml:space="preserve">n vertu de l’article préliminaire au code de procédure pénale, </w:t>
      </w:r>
      <w:r w:rsidR="00DD444E" w:rsidRPr="00DD444E">
        <w:rPr>
          <w:rFonts w:ascii="Times New Roman" w:hAnsi="Times New Roman" w:cs="Times New Roman"/>
          <w:sz w:val="24"/>
          <w:szCs w:val="24"/>
        </w:rPr>
        <w:t xml:space="preserve">d’une part, « toute personne suspectée ou poursuivie [...] a le droit d’être informée des charges retenues contre elle » et, d’autre part, « l’autorité judiciaire veille à l’information </w:t>
      </w:r>
      <w:r w:rsidR="00DD444E">
        <w:rPr>
          <w:rFonts w:ascii="Times New Roman" w:hAnsi="Times New Roman" w:cs="Times New Roman"/>
          <w:sz w:val="24"/>
          <w:szCs w:val="24"/>
        </w:rPr>
        <w:t>[...]</w:t>
      </w:r>
      <w:r w:rsidR="00DD444E" w:rsidRPr="00DD444E">
        <w:rPr>
          <w:rFonts w:ascii="Times New Roman" w:hAnsi="Times New Roman" w:cs="Times New Roman"/>
          <w:sz w:val="24"/>
          <w:szCs w:val="24"/>
        </w:rPr>
        <w:t xml:space="preserve"> des victimes au cours de toute procédure pénale ».</w:t>
      </w:r>
      <w:r w:rsidR="00DD444E">
        <w:rPr>
          <w:rFonts w:ascii="Times New Roman" w:hAnsi="Times New Roman" w:cs="Times New Roman"/>
          <w:sz w:val="24"/>
          <w:szCs w:val="24"/>
        </w:rPr>
        <w:t xml:space="preserve"> Ainsi mis en cause et victime </w:t>
      </w:r>
      <w:r w:rsidR="002732CE">
        <w:rPr>
          <w:rFonts w:ascii="Times New Roman" w:hAnsi="Times New Roman" w:cs="Times New Roman"/>
          <w:sz w:val="24"/>
          <w:szCs w:val="24"/>
        </w:rPr>
        <w:t>s</w:t>
      </w:r>
      <w:r w:rsidR="00DD444E">
        <w:rPr>
          <w:rFonts w:ascii="Times New Roman" w:hAnsi="Times New Roman" w:cs="Times New Roman"/>
          <w:sz w:val="24"/>
          <w:szCs w:val="24"/>
        </w:rPr>
        <w:t xml:space="preserve">ont-ils </w:t>
      </w:r>
      <w:r w:rsidR="002732CE">
        <w:rPr>
          <w:rFonts w:ascii="Times New Roman" w:hAnsi="Times New Roman" w:cs="Times New Roman"/>
          <w:sz w:val="24"/>
          <w:szCs w:val="24"/>
        </w:rPr>
        <w:t>les destinataires respectifs d’un certain nombre d’informations susceptibles de les intéresser</w:t>
      </w:r>
      <w:r w:rsidR="00515150">
        <w:rPr>
          <w:rFonts w:ascii="Times New Roman" w:hAnsi="Times New Roman" w:cs="Times New Roman"/>
          <w:sz w:val="24"/>
          <w:szCs w:val="24"/>
        </w:rPr>
        <w:t>, tant durant l’enquête que durant l’instruction</w:t>
      </w:r>
      <w:r w:rsidR="002732CE">
        <w:rPr>
          <w:rFonts w:ascii="Times New Roman" w:hAnsi="Times New Roman" w:cs="Times New Roman"/>
          <w:sz w:val="24"/>
          <w:szCs w:val="24"/>
        </w:rPr>
        <w:t>.</w:t>
      </w:r>
    </w:p>
    <w:p w:rsidR="003B0CB3" w:rsidRDefault="003B0CB3" w:rsidP="007D57E5">
      <w:pPr>
        <w:spacing w:after="0" w:line="360" w:lineRule="auto"/>
        <w:jc w:val="both"/>
        <w:rPr>
          <w:rFonts w:ascii="Times New Roman" w:hAnsi="Times New Roman" w:cs="Times New Roman"/>
          <w:sz w:val="24"/>
          <w:szCs w:val="24"/>
        </w:rPr>
      </w:pPr>
    </w:p>
    <w:p w:rsidR="00E6358F" w:rsidRDefault="00515150" w:rsidP="007D57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Le cadre de l’instruction, en quelque sorte celui d’un procès de la preuve, facilite </w:t>
      </w:r>
      <w:r w:rsidR="00B44DC7">
        <w:rPr>
          <w:rFonts w:ascii="Times New Roman" w:hAnsi="Times New Roman" w:cs="Times New Roman"/>
          <w:sz w:val="24"/>
          <w:szCs w:val="24"/>
        </w:rPr>
        <w:t xml:space="preserve">évidemment </w:t>
      </w:r>
      <w:r>
        <w:rPr>
          <w:rFonts w:ascii="Times New Roman" w:hAnsi="Times New Roman" w:cs="Times New Roman"/>
          <w:sz w:val="24"/>
          <w:szCs w:val="24"/>
        </w:rPr>
        <w:t xml:space="preserve">l’essor du principe du contradictoire et, par là même, de l’information des parties au sens le plus strict du terme. </w:t>
      </w:r>
      <w:r w:rsidR="000A0E92">
        <w:rPr>
          <w:rFonts w:ascii="Times New Roman" w:hAnsi="Times New Roman" w:cs="Times New Roman"/>
          <w:sz w:val="24"/>
          <w:szCs w:val="24"/>
        </w:rPr>
        <w:t>Dès l’ouverture d’une telle procédure</w:t>
      </w:r>
      <w:r w:rsidR="00785294">
        <w:rPr>
          <w:rFonts w:ascii="Times New Roman" w:hAnsi="Times New Roman" w:cs="Times New Roman"/>
          <w:sz w:val="24"/>
          <w:szCs w:val="24"/>
        </w:rPr>
        <w:t xml:space="preserve">, </w:t>
      </w:r>
      <w:r w:rsidR="000A0E92">
        <w:rPr>
          <w:rFonts w:ascii="Times New Roman" w:hAnsi="Times New Roman" w:cs="Times New Roman"/>
          <w:sz w:val="24"/>
          <w:szCs w:val="24"/>
        </w:rPr>
        <w:t>dont doit être prévenue</w:t>
      </w:r>
      <w:r w:rsidR="00785294">
        <w:rPr>
          <w:rFonts w:ascii="Times New Roman" w:hAnsi="Times New Roman" w:cs="Times New Roman"/>
          <w:sz w:val="24"/>
          <w:szCs w:val="24"/>
        </w:rPr>
        <w:t xml:space="preserve"> la victime, en sus </w:t>
      </w:r>
      <w:r w:rsidR="000A0E92">
        <w:rPr>
          <w:rFonts w:ascii="Times New Roman" w:hAnsi="Times New Roman" w:cs="Times New Roman"/>
          <w:sz w:val="24"/>
          <w:szCs w:val="24"/>
        </w:rPr>
        <w:t xml:space="preserve">de la notification </w:t>
      </w:r>
      <w:r w:rsidR="00785294">
        <w:rPr>
          <w:rFonts w:ascii="Times New Roman" w:hAnsi="Times New Roman" w:cs="Times New Roman"/>
          <w:sz w:val="24"/>
          <w:szCs w:val="24"/>
        </w:rPr>
        <w:t>de ses droits et des modalités dans lesquelles ils s’exercent</w:t>
      </w:r>
      <w:r w:rsidR="00785294">
        <w:rPr>
          <w:rStyle w:val="Appelnotedebasdep"/>
          <w:rFonts w:ascii="Times New Roman" w:hAnsi="Times New Roman" w:cs="Times New Roman"/>
          <w:sz w:val="24"/>
          <w:szCs w:val="24"/>
        </w:rPr>
        <w:footnoteReference w:id="2"/>
      </w:r>
      <w:r w:rsidR="00785294">
        <w:rPr>
          <w:rFonts w:ascii="Times New Roman" w:hAnsi="Times New Roman" w:cs="Times New Roman"/>
          <w:sz w:val="24"/>
          <w:szCs w:val="24"/>
        </w:rPr>
        <w:t xml:space="preserve">, </w:t>
      </w:r>
      <w:r w:rsidR="00C06260">
        <w:rPr>
          <w:rFonts w:ascii="Times New Roman" w:hAnsi="Times New Roman" w:cs="Times New Roman"/>
          <w:sz w:val="24"/>
          <w:szCs w:val="24"/>
        </w:rPr>
        <w:t xml:space="preserve">l’information circule, essentiellement par l’entremise de l’accès </w:t>
      </w:r>
      <w:r w:rsidR="00B32F2D">
        <w:rPr>
          <w:rFonts w:ascii="Times New Roman" w:hAnsi="Times New Roman" w:cs="Times New Roman"/>
          <w:sz w:val="24"/>
          <w:szCs w:val="24"/>
        </w:rPr>
        <w:t xml:space="preserve">de tous </w:t>
      </w:r>
      <w:r w:rsidR="00C06260">
        <w:rPr>
          <w:rFonts w:ascii="Times New Roman" w:hAnsi="Times New Roman" w:cs="Times New Roman"/>
          <w:sz w:val="24"/>
          <w:szCs w:val="24"/>
        </w:rPr>
        <w:t>au dossier</w:t>
      </w:r>
      <w:r w:rsidR="00C06260">
        <w:rPr>
          <w:rStyle w:val="Appelnotedebasdep"/>
          <w:rFonts w:ascii="Times New Roman" w:hAnsi="Times New Roman" w:cs="Times New Roman"/>
          <w:sz w:val="24"/>
          <w:szCs w:val="24"/>
        </w:rPr>
        <w:footnoteReference w:id="3"/>
      </w:r>
      <w:r w:rsidR="00B32F2D">
        <w:rPr>
          <w:rFonts w:ascii="Times New Roman" w:hAnsi="Times New Roman" w:cs="Times New Roman"/>
          <w:sz w:val="24"/>
          <w:szCs w:val="24"/>
        </w:rPr>
        <w:t>, ainsi que par la signification à chacun des actes</w:t>
      </w:r>
      <w:r w:rsidR="00E6358F">
        <w:rPr>
          <w:rFonts w:ascii="Times New Roman" w:hAnsi="Times New Roman" w:cs="Times New Roman"/>
          <w:sz w:val="24"/>
          <w:szCs w:val="24"/>
        </w:rPr>
        <w:t xml:space="preserve"> pris par le juge</w:t>
      </w:r>
      <w:r w:rsidR="00B32F2D">
        <w:rPr>
          <w:rStyle w:val="Appelnotedebasdep"/>
          <w:rFonts w:ascii="Times New Roman" w:hAnsi="Times New Roman" w:cs="Times New Roman"/>
          <w:sz w:val="24"/>
          <w:szCs w:val="24"/>
        </w:rPr>
        <w:footnoteReference w:id="4"/>
      </w:r>
      <w:r w:rsidR="00C06260">
        <w:rPr>
          <w:rFonts w:ascii="Times New Roman" w:hAnsi="Times New Roman" w:cs="Times New Roman"/>
          <w:sz w:val="24"/>
          <w:szCs w:val="24"/>
        </w:rPr>
        <w:t>.</w:t>
      </w:r>
      <w:r w:rsidR="00F2721F">
        <w:rPr>
          <w:rFonts w:ascii="Times New Roman" w:hAnsi="Times New Roman" w:cs="Times New Roman"/>
          <w:sz w:val="24"/>
          <w:szCs w:val="24"/>
        </w:rPr>
        <w:t xml:space="preserve"> L’information est assurée jusqu’à la fin de l’instruction, dont les parties doivent également être prévenues</w:t>
      </w:r>
      <w:r w:rsidR="004254A7">
        <w:rPr>
          <w:rStyle w:val="Appelnotedebasdep"/>
          <w:rFonts w:ascii="Times New Roman" w:hAnsi="Times New Roman" w:cs="Times New Roman"/>
          <w:sz w:val="24"/>
          <w:szCs w:val="24"/>
        </w:rPr>
        <w:footnoteReference w:id="5"/>
      </w:r>
      <w:r w:rsidR="00F2721F">
        <w:rPr>
          <w:rFonts w:ascii="Times New Roman" w:hAnsi="Times New Roman" w:cs="Times New Roman"/>
          <w:sz w:val="24"/>
          <w:szCs w:val="24"/>
        </w:rPr>
        <w:t>.</w:t>
      </w:r>
    </w:p>
    <w:p w:rsidR="00E6358F" w:rsidRDefault="00E6358F" w:rsidP="007D57E5">
      <w:pPr>
        <w:spacing w:after="0" w:line="360" w:lineRule="auto"/>
        <w:jc w:val="both"/>
        <w:rPr>
          <w:rFonts w:ascii="Times New Roman" w:hAnsi="Times New Roman" w:cs="Times New Roman"/>
          <w:sz w:val="24"/>
          <w:szCs w:val="24"/>
        </w:rPr>
      </w:pPr>
    </w:p>
    <w:p w:rsidR="007B4312" w:rsidRDefault="00B32F2D" w:rsidP="007D57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Pr="00B32F2D">
        <w:rPr>
          <w:rFonts w:ascii="Times New Roman" w:hAnsi="Times New Roman" w:cs="Times New Roman"/>
          <w:sz w:val="24"/>
          <w:szCs w:val="24"/>
        </w:rPr>
        <w:t>a personne nommément visée par une plainte avec cons</w:t>
      </w:r>
      <w:r>
        <w:rPr>
          <w:rFonts w:ascii="Times New Roman" w:hAnsi="Times New Roman" w:cs="Times New Roman"/>
          <w:sz w:val="24"/>
          <w:szCs w:val="24"/>
        </w:rPr>
        <w:t xml:space="preserve">titution de partie civile </w:t>
      </w:r>
      <w:r w:rsidRPr="00B32F2D">
        <w:rPr>
          <w:rFonts w:ascii="Times New Roman" w:hAnsi="Times New Roman" w:cs="Times New Roman"/>
          <w:sz w:val="24"/>
          <w:szCs w:val="24"/>
        </w:rPr>
        <w:t xml:space="preserve">est avisée </w:t>
      </w:r>
      <w:r>
        <w:rPr>
          <w:rFonts w:ascii="Times New Roman" w:hAnsi="Times New Roman" w:cs="Times New Roman"/>
          <w:sz w:val="24"/>
          <w:szCs w:val="24"/>
        </w:rPr>
        <w:t>du</w:t>
      </w:r>
      <w:r w:rsidRPr="00B32F2D">
        <w:rPr>
          <w:rFonts w:ascii="Times New Roman" w:hAnsi="Times New Roman" w:cs="Times New Roman"/>
          <w:sz w:val="24"/>
          <w:szCs w:val="24"/>
        </w:rPr>
        <w:t xml:space="preserve"> droit </w:t>
      </w:r>
      <w:r>
        <w:rPr>
          <w:rFonts w:ascii="Times New Roman" w:hAnsi="Times New Roman" w:cs="Times New Roman"/>
          <w:sz w:val="24"/>
          <w:szCs w:val="24"/>
        </w:rPr>
        <w:t>d’être entendue comme témoin assisté lorsqu’elle comparaît devant le juge d’</w:t>
      </w:r>
      <w:r w:rsidRPr="00B32F2D">
        <w:rPr>
          <w:rFonts w:ascii="Times New Roman" w:hAnsi="Times New Roman" w:cs="Times New Roman"/>
          <w:sz w:val="24"/>
          <w:szCs w:val="24"/>
        </w:rPr>
        <w:t>instruction</w:t>
      </w:r>
      <w:r>
        <w:rPr>
          <w:rStyle w:val="Appelnotedebasdep"/>
          <w:rFonts w:ascii="Times New Roman" w:hAnsi="Times New Roman" w:cs="Times New Roman"/>
          <w:sz w:val="24"/>
          <w:szCs w:val="24"/>
        </w:rPr>
        <w:footnoteReference w:id="6"/>
      </w:r>
      <w:r>
        <w:rPr>
          <w:rFonts w:ascii="Times New Roman" w:hAnsi="Times New Roman" w:cs="Times New Roman"/>
          <w:sz w:val="24"/>
          <w:szCs w:val="24"/>
        </w:rPr>
        <w:t xml:space="preserve">. Le témoin assisté est </w:t>
      </w:r>
      <w:r w:rsidR="00CB193B">
        <w:rPr>
          <w:rFonts w:ascii="Times New Roman" w:hAnsi="Times New Roman" w:cs="Times New Roman"/>
          <w:sz w:val="24"/>
          <w:szCs w:val="24"/>
        </w:rPr>
        <w:t xml:space="preserve">alors </w:t>
      </w:r>
      <w:r>
        <w:rPr>
          <w:rFonts w:ascii="Times New Roman" w:hAnsi="Times New Roman" w:cs="Times New Roman"/>
          <w:sz w:val="24"/>
          <w:szCs w:val="24"/>
        </w:rPr>
        <w:t>informé, soit préalablement à sa première audition, soit durant celle-ci, « </w:t>
      </w:r>
      <w:r w:rsidRPr="00B32F2D">
        <w:rPr>
          <w:rFonts w:ascii="Times New Roman" w:hAnsi="Times New Roman" w:cs="Times New Roman"/>
          <w:sz w:val="24"/>
          <w:szCs w:val="24"/>
        </w:rPr>
        <w:t xml:space="preserve">du réquisitoire introductif, de la plainte ou de la dénonciation, </w:t>
      </w:r>
      <w:r>
        <w:rPr>
          <w:rFonts w:ascii="Times New Roman" w:hAnsi="Times New Roman" w:cs="Times New Roman"/>
          <w:sz w:val="24"/>
          <w:szCs w:val="24"/>
        </w:rPr>
        <w:t>[...]</w:t>
      </w:r>
      <w:r w:rsidRPr="00B32F2D">
        <w:rPr>
          <w:rFonts w:ascii="Times New Roman" w:hAnsi="Times New Roman" w:cs="Times New Roman"/>
          <w:sz w:val="24"/>
          <w:szCs w:val="24"/>
        </w:rPr>
        <w:t xml:space="preserve"> de son droit de faire des déclarations, de répondre aux questions qui lui sont posées ou de se taire ains</w:t>
      </w:r>
      <w:r>
        <w:rPr>
          <w:rFonts w:ascii="Times New Roman" w:hAnsi="Times New Roman" w:cs="Times New Roman"/>
          <w:sz w:val="24"/>
          <w:szCs w:val="24"/>
        </w:rPr>
        <w:t>i que des droits mentionnés à l’</w:t>
      </w:r>
      <w:r w:rsidRPr="00B32F2D">
        <w:rPr>
          <w:rFonts w:ascii="Times New Roman" w:hAnsi="Times New Roman" w:cs="Times New Roman"/>
          <w:sz w:val="24"/>
          <w:szCs w:val="24"/>
        </w:rPr>
        <w:t>article 113-3</w:t>
      </w:r>
      <w:r>
        <w:rPr>
          <w:rFonts w:ascii="Times New Roman" w:hAnsi="Times New Roman" w:cs="Times New Roman"/>
          <w:sz w:val="24"/>
          <w:szCs w:val="24"/>
        </w:rPr>
        <w:t> »</w:t>
      </w:r>
      <w:r>
        <w:rPr>
          <w:rStyle w:val="Appelnotedebasdep"/>
          <w:rFonts w:ascii="Times New Roman" w:hAnsi="Times New Roman" w:cs="Times New Roman"/>
          <w:sz w:val="24"/>
          <w:szCs w:val="24"/>
        </w:rPr>
        <w:footnoteReference w:id="7"/>
      </w:r>
      <w:r>
        <w:rPr>
          <w:rFonts w:ascii="Times New Roman" w:hAnsi="Times New Roman" w:cs="Times New Roman"/>
          <w:sz w:val="24"/>
          <w:szCs w:val="24"/>
        </w:rPr>
        <w:t xml:space="preserve">. En cas de mise en examen, </w:t>
      </w:r>
      <w:r w:rsidR="00341E5B">
        <w:rPr>
          <w:rFonts w:ascii="Times New Roman" w:hAnsi="Times New Roman" w:cs="Times New Roman"/>
          <w:sz w:val="24"/>
          <w:szCs w:val="24"/>
        </w:rPr>
        <w:t xml:space="preserve">le mis en cause est informé </w:t>
      </w:r>
      <w:r w:rsidR="00341E5B" w:rsidRPr="00341E5B">
        <w:rPr>
          <w:rFonts w:ascii="Times New Roman" w:hAnsi="Times New Roman" w:cs="Times New Roman"/>
          <w:sz w:val="24"/>
          <w:szCs w:val="24"/>
        </w:rPr>
        <w:t>de</w:t>
      </w:r>
      <w:r w:rsidR="00CB193B">
        <w:rPr>
          <w:rFonts w:ascii="Times New Roman" w:hAnsi="Times New Roman" w:cs="Times New Roman"/>
          <w:sz w:val="24"/>
          <w:szCs w:val="24"/>
        </w:rPr>
        <w:t>s faits qui lui sont reprochés,</w:t>
      </w:r>
      <w:r w:rsidR="00341E5B" w:rsidRPr="00341E5B">
        <w:rPr>
          <w:rFonts w:ascii="Times New Roman" w:hAnsi="Times New Roman" w:cs="Times New Roman"/>
          <w:sz w:val="24"/>
          <w:szCs w:val="24"/>
        </w:rPr>
        <w:t xml:space="preserve"> </w:t>
      </w:r>
      <w:r w:rsidR="00341E5B">
        <w:rPr>
          <w:rFonts w:ascii="Times New Roman" w:hAnsi="Times New Roman" w:cs="Times New Roman"/>
          <w:sz w:val="24"/>
          <w:szCs w:val="24"/>
        </w:rPr>
        <w:t xml:space="preserve">de </w:t>
      </w:r>
      <w:r w:rsidR="00341E5B" w:rsidRPr="00341E5B">
        <w:rPr>
          <w:rFonts w:ascii="Times New Roman" w:hAnsi="Times New Roman" w:cs="Times New Roman"/>
          <w:sz w:val="24"/>
          <w:szCs w:val="24"/>
        </w:rPr>
        <w:t>leur qualification juridique, de son droit de formule</w:t>
      </w:r>
      <w:r w:rsidR="00341E5B">
        <w:rPr>
          <w:rFonts w:ascii="Times New Roman" w:hAnsi="Times New Roman" w:cs="Times New Roman"/>
          <w:sz w:val="24"/>
          <w:szCs w:val="24"/>
        </w:rPr>
        <w:t>r des demandes d’</w:t>
      </w:r>
      <w:r w:rsidR="00341E5B" w:rsidRPr="00341E5B">
        <w:rPr>
          <w:rFonts w:ascii="Times New Roman" w:hAnsi="Times New Roman" w:cs="Times New Roman"/>
          <w:sz w:val="24"/>
          <w:szCs w:val="24"/>
        </w:rPr>
        <w:t xml:space="preserve">actes ou des requêtes en annulation, </w:t>
      </w:r>
      <w:r w:rsidR="00341E5B">
        <w:rPr>
          <w:rFonts w:ascii="Times New Roman" w:hAnsi="Times New Roman" w:cs="Times New Roman"/>
          <w:sz w:val="24"/>
          <w:szCs w:val="24"/>
        </w:rPr>
        <w:t>ainsi que du délai prévisible d’</w:t>
      </w:r>
      <w:r w:rsidR="001D2BD5">
        <w:rPr>
          <w:rFonts w:ascii="Times New Roman" w:hAnsi="Times New Roman" w:cs="Times New Roman"/>
          <w:sz w:val="24"/>
          <w:szCs w:val="24"/>
        </w:rPr>
        <w:t>achèvement de la procédure</w:t>
      </w:r>
      <w:r w:rsidR="00341E5B">
        <w:rPr>
          <w:rStyle w:val="Appelnotedebasdep"/>
          <w:rFonts w:ascii="Times New Roman" w:hAnsi="Times New Roman" w:cs="Times New Roman"/>
          <w:sz w:val="24"/>
          <w:szCs w:val="24"/>
        </w:rPr>
        <w:footnoteReference w:id="8"/>
      </w:r>
      <w:r w:rsidR="00341E5B">
        <w:rPr>
          <w:rFonts w:ascii="Times New Roman" w:hAnsi="Times New Roman" w:cs="Times New Roman"/>
          <w:sz w:val="24"/>
          <w:szCs w:val="24"/>
        </w:rPr>
        <w:t> ; il lui est également précisé que, s’il demande à être à nouveau entendu par le juge d’</w:t>
      </w:r>
      <w:r w:rsidR="00341E5B" w:rsidRPr="00341E5B">
        <w:rPr>
          <w:rFonts w:ascii="Times New Roman" w:hAnsi="Times New Roman" w:cs="Times New Roman"/>
          <w:sz w:val="24"/>
          <w:szCs w:val="24"/>
        </w:rPr>
        <w:t xml:space="preserve">instruction, </w:t>
      </w:r>
      <w:r w:rsidR="00341E5B">
        <w:rPr>
          <w:rFonts w:ascii="Times New Roman" w:hAnsi="Times New Roman" w:cs="Times New Roman"/>
          <w:sz w:val="24"/>
          <w:szCs w:val="24"/>
        </w:rPr>
        <w:t>« </w:t>
      </w:r>
      <w:r w:rsidR="00341E5B" w:rsidRPr="00341E5B">
        <w:rPr>
          <w:rFonts w:ascii="Times New Roman" w:hAnsi="Times New Roman" w:cs="Times New Roman"/>
          <w:sz w:val="24"/>
          <w:szCs w:val="24"/>
        </w:rPr>
        <w:t>celui-ci est tenu de procéder à son interrogatoire</w:t>
      </w:r>
      <w:r w:rsidR="00341E5B">
        <w:rPr>
          <w:rFonts w:ascii="Times New Roman" w:hAnsi="Times New Roman" w:cs="Times New Roman"/>
          <w:sz w:val="24"/>
          <w:szCs w:val="24"/>
        </w:rPr>
        <w:t> »</w:t>
      </w:r>
      <w:r w:rsidR="00341E5B">
        <w:rPr>
          <w:rStyle w:val="Appelnotedebasdep"/>
          <w:rFonts w:ascii="Times New Roman" w:hAnsi="Times New Roman" w:cs="Times New Roman"/>
          <w:sz w:val="24"/>
          <w:szCs w:val="24"/>
        </w:rPr>
        <w:footnoteReference w:id="9"/>
      </w:r>
      <w:r w:rsidR="00341E5B" w:rsidRPr="00341E5B">
        <w:rPr>
          <w:rFonts w:ascii="Times New Roman" w:hAnsi="Times New Roman" w:cs="Times New Roman"/>
          <w:sz w:val="24"/>
          <w:szCs w:val="24"/>
        </w:rPr>
        <w:t>.</w:t>
      </w:r>
      <w:r w:rsidR="007B4312">
        <w:rPr>
          <w:rFonts w:ascii="Times New Roman" w:hAnsi="Times New Roman" w:cs="Times New Roman"/>
          <w:sz w:val="24"/>
          <w:szCs w:val="24"/>
        </w:rPr>
        <w:t xml:space="preserve"> S’il n’a pas été préalablement témoin assisté, le mis en cause est convoqué pour un interrogatoire de première comparution, étant alors informé tant dans l’optique de sa mise en examen</w:t>
      </w:r>
      <w:r w:rsidR="007B4312">
        <w:rPr>
          <w:rStyle w:val="Appelnotedebasdep"/>
          <w:rFonts w:ascii="Times New Roman" w:hAnsi="Times New Roman" w:cs="Times New Roman"/>
          <w:sz w:val="24"/>
          <w:szCs w:val="24"/>
        </w:rPr>
        <w:footnoteReference w:id="10"/>
      </w:r>
      <w:r w:rsidR="007B4312">
        <w:rPr>
          <w:rFonts w:ascii="Times New Roman" w:hAnsi="Times New Roman" w:cs="Times New Roman"/>
          <w:sz w:val="24"/>
          <w:szCs w:val="24"/>
        </w:rPr>
        <w:t xml:space="preserve"> que durant cette mise en examen</w:t>
      </w:r>
      <w:r w:rsidR="007B4312">
        <w:rPr>
          <w:rStyle w:val="Appelnotedebasdep"/>
          <w:rFonts w:ascii="Times New Roman" w:hAnsi="Times New Roman" w:cs="Times New Roman"/>
          <w:sz w:val="24"/>
          <w:szCs w:val="24"/>
        </w:rPr>
        <w:footnoteReference w:id="11"/>
      </w:r>
      <w:r w:rsidR="007B4312">
        <w:rPr>
          <w:rFonts w:ascii="Times New Roman" w:hAnsi="Times New Roman" w:cs="Times New Roman"/>
          <w:sz w:val="24"/>
          <w:szCs w:val="24"/>
        </w:rPr>
        <w:t xml:space="preserve">, </w:t>
      </w:r>
      <w:r w:rsidR="001D20D7">
        <w:rPr>
          <w:rFonts w:ascii="Times New Roman" w:hAnsi="Times New Roman" w:cs="Times New Roman"/>
          <w:sz w:val="24"/>
          <w:szCs w:val="24"/>
        </w:rPr>
        <w:t>principalement</w:t>
      </w:r>
      <w:r w:rsidR="007B4312">
        <w:rPr>
          <w:rFonts w:ascii="Times New Roman" w:hAnsi="Times New Roman" w:cs="Times New Roman"/>
          <w:sz w:val="24"/>
          <w:szCs w:val="24"/>
        </w:rPr>
        <w:t xml:space="preserve"> des raisons de celle-ci</w:t>
      </w:r>
      <w:r w:rsidR="001D20D7">
        <w:rPr>
          <w:rFonts w:ascii="Times New Roman" w:hAnsi="Times New Roman" w:cs="Times New Roman"/>
          <w:sz w:val="24"/>
          <w:szCs w:val="24"/>
        </w:rPr>
        <w:t xml:space="preserve"> et de ses droits à la suite de celle-ci</w:t>
      </w:r>
      <w:r w:rsidR="007B4312">
        <w:rPr>
          <w:rFonts w:ascii="Times New Roman" w:hAnsi="Times New Roman" w:cs="Times New Roman"/>
          <w:sz w:val="24"/>
          <w:szCs w:val="24"/>
        </w:rPr>
        <w:t>.</w:t>
      </w:r>
      <w:r w:rsidR="008E60EB">
        <w:rPr>
          <w:rFonts w:ascii="Times New Roman" w:hAnsi="Times New Roman" w:cs="Times New Roman"/>
          <w:sz w:val="24"/>
          <w:szCs w:val="24"/>
        </w:rPr>
        <w:t xml:space="preserve"> </w:t>
      </w:r>
      <w:r w:rsidR="001D20D7">
        <w:rPr>
          <w:rFonts w:ascii="Times New Roman" w:hAnsi="Times New Roman" w:cs="Times New Roman"/>
          <w:sz w:val="24"/>
          <w:szCs w:val="24"/>
        </w:rPr>
        <w:t>Une fois</w:t>
      </w:r>
      <w:r w:rsidR="008E60EB">
        <w:rPr>
          <w:rFonts w:ascii="Times New Roman" w:hAnsi="Times New Roman" w:cs="Times New Roman"/>
          <w:sz w:val="24"/>
          <w:szCs w:val="24"/>
        </w:rPr>
        <w:t xml:space="preserve"> mis en examen</w:t>
      </w:r>
      <w:r w:rsidR="00CB193B">
        <w:rPr>
          <w:rFonts w:ascii="Times New Roman" w:hAnsi="Times New Roman" w:cs="Times New Roman"/>
          <w:sz w:val="24"/>
          <w:szCs w:val="24"/>
        </w:rPr>
        <w:t xml:space="preserve">, le mis en cause est </w:t>
      </w:r>
      <w:r w:rsidR="0039381C">
        <w:rPr>
          <w:rFonts w:ascii="Times New Roman" w:hAnsi="Times New Roman" w:cs="Times New Roman"/>
          <w:sz w:val="24"/>
          <w:szCs w:val="24"/>
        </w:rPr>
        <w:t xml:space="preserve">aussi </w:t>
      </w:r>
      <w:r w:rsidR="00CB193B">
        <w:rPr>
          <w:rFonts w:ascii="Times New Roman" w:hAnsi="Times New Roman" w:cs="Times New Roman"/>
          <w:sz w:val="24"/>
          <w:szCs w:val="24"/>
        </w:rPr>
        <w:t xml:space="preserve">informé en cas de </w:t>
      </w:r>
      <w:r w:rsidR="008E60EB">
        <w:rPr>
          <w:rFonts w:ascii="Times New Roman" w:hAnsi="Times New Roman" w:cs="Times New Roman"/>
          <w:sz w:val="24"/>
          <w:szCs w:val="24"/>
        </w:rPr>
        <w:t>requalification des faits qui lui sont reprochés de délit en crime</w:t>
      </w:r>
      <w:r w:rsidR="008E60EB">
        <w:rPr>
          <w:rStyle w:val="Appelnotedebasdep"/>
          <w:rFonts w:ascii="Times New Roman" w:hAnsi="Times New Roman" w:cs="Times New Roman"/>
          <w:sz w:val="24"/>
          <w:szCs w:val="24"/>
        </w:rPr>
        <w:footnoteReference w:id="12"/>
      </w:r>
      <w:r w:rsidR="00CB193B">
        <w:rPr>
          <w:rFonts w:ascii="Times New Roman" w:hAnsi="Times New Roman" w:cs="Times New Roman"/>
          <w:sz w:val="24"/>
          <w:szCs w:val="24"/>
        </w:rPr>
        <w:t xml:space="preserve"> et bénéficiera</w:t>
      </w:r>
      <w:r w:rsidR="0039381C">
        <w:rPr>
          <w:rFonts w:ascii="Times New Roman" w:hAnsi="Times New Roman" w:cs="Times New Roman"/>
          <w:sz w:val="24"/>
          <w:szCs w:val="24"/>
        </w:rPr>
        <w:t>,</w:t>
      </w:r>
      <w:r w:rsidR="00CB193B">
        <w:rPr>
          <w:rFonts w:ascii="Times New Roman" w:hAnsi="Times New Roman" w:cs="Times New Roman"/>
          <w:sz w:val="24"/>
          <w:szCs w:val="24"/>
        </w:rPr>
        <w:t xml:space="preserve"> naturellement</w:t>
      </w:r>
      <w:r w:rsidR="0039381C">
        <w:rPr>
          <w:rFonts w:ascii="Times New Roman" w:hAnsi="Times New Roman" w:cs="Times New Roman"/>
          <w:sz w:val="24"/>
          <w:szCs w:val="24"/>
        </w:rPr>
        <w:t>,</w:t>
      </w:r>
      <w:r w:rsidR="00CB193B">
        <w:rPr>
          <w:rFonts w:ascii="Times New Roman" w:hAnsi="Times New Roman" w:cs="Times New Roman"/>
          <w:sz w:val="24"/>
          <w:szCs w:val="24"/>
        </w:rPr>
        <w:t xml:space="preserve"> d’un certain nombre de précisions s’il est destiné à subir une détention provisoire</w:t>
      </w:r>
      <w:r w:rsidR="00CB193B">
        <w:rPr>
          <w:rStyle w:val="Appelnotedebasdep"/>
          <w:rFonts w:ascii="Times New Roman" w:hAnsi="Times New Roman" w:cs="Times New Roman"/>
          <w:sz w:val="24"/>
          <w:szCs w:val="24"/>
        </w:rPr>
        <w:footnoteReference w:id="13"/>
      </w:r>
      <w:r w:rsidR="00CB193B">
        <w:rPr>
          <w:rFonts w:ascii="Times New Roman" w:hAnsi="Times New Roman" w:cs="Times New Roman"/>
          <w:sz w:val="24"/>
          <w:szCs w:val="24"/>
        </w:rPr>
        <w:t>.</w:t>
      </w:r>
    </w:p>
    <w:p w:rsidR="007B4312" w:rsidRDefault="007B4312" w:rsidP="007D57E5">
      <w:pPr>
        <w:spacing w:after="0" w:line="360" w:lineRule="auto"/>
        <w:jc w:val="both"/>
        <w:rPr>
          <w:rFonts w:ascii="Times New Roman" w:hAnsi="Times New Roman" w:cs="Times New Roman"/>
          <w:b/>
          <w:sz w:val="24"/>
          <w:szCs w:val="24"/>
        </w:rPr>
      </w:pPr>
    </w:p>
    <w:p w:rsidR="00CB0153" w:rsidRPr="00705210" w:rsidRDefault="00CB193B" w:rsidP="00705210">
      <w:pPr>
        <w:spacing w:after="0" w:line="360" w:lineRule="auto"/>
        <w:jc w:val="both"/>
        <w:rPr>
          <w:rFonts w:ascii="Times New Roman" w:hAnsi="Times New Roman" w:cs="Times New Roman"/>
          <w:sz w:val="24"/>
          <w:szCs w:val="24"/>
        </w:rPr>
      </w:pPr>
      <w:r w:rsidRPr="00CB193B">
        <w:rPr>
          <w:rFonts w:ascii="Times New Roman" w:hAnsi="Times New Roman" w:cs="Times New Roman"/>
          <w:sz w:val="24"/>
          <w:szCs w:val="24"/>
        </w:rPr>
        <w:lastRenderedPageBreak/>
        <w:t>La partie civile est, quant à elle, lors de sa première audition, « avisée de son droit de formuler une demande d’acte ou de présenter une requête en annulation », ainsi que de celui de demander la clôture de la procédure à l’expiration d’un délai prédéfini</w:t>
      </w:r>
      <w:r w:rsidRPr="00CB193B">
        <w:rPr>
          <w:rStyle w:val="Appelnotedebasdep"/>
          <w:rFonts w:ascii="Times New Roman" w:hAnsi="Times New Roman" w:cs="Times New Roman"/>
          <w:sz w:val="24"/>
          <w:szCs w:val="24"/>
        </w:rPr>
        <w:footnoteReference w:id="14"/>
      </w:r>
      <w:r w:rsidRPr="00CB193B">
        <w:rPr>
          <w:rFonts w:ascii="Times New Roman" w:hAnsi="Times New Roman" w:cs="Times New Roman"/>
          <w:sz w:val="24"/>
          <w:szCs w:val="24"/>
        </w:rPr>
        <w:t>. Par ailleurs, « e</w:t>
      </w:r>
      <w:r>
        <w:rPr>
          <w:rFonts w:ascii="Times New Roman" w:hAnsi="Times New Roman" w:cs="Times New Roman"/>
          <w:sz w:val="24"/>
          <w:szCs w:val="24"/>
        </w:rPr>
        <w:t>n matière criminelle, lorsqu’il s’agit d’</w:t>
      </w:r>
      <w:r w:rsidRPr="00CB193B">
        <w:rPr>
          <w:rFonts w:ascii="Times New Roman" w:hAnsi="Times New Roman" w:cs="Times New Roman"/>
          <w:sz w:val="24"/>
          <w:szCs w:val="24"/>
        </w:rPr>
        <w:t>un délit contre les personnes prévu par le l</w:t>
      </w:r>
      <w:r>
        <w:rPr>
          <w:rFonts w:ascii="Times New Roman" w:hAnsi="Times New Roman" w:cs="Times New Roman"/>
          <w:sz w:val="24"/>
          <w:szCs w:val="24"/>
        </w:rPr>
        <w:t>ivre II du code pénal ou lorsqu’il s'agit d’</w:t>
      </w:r>
      <w:r w:rsidRPr="00CB193B">
        <w:rPr>
          <w:rFonts w:ascii="Times New Roman" w:hAnsi="Times New Roman" w:cs="Times New Roman"/>
          <w:sz w:val="24"/>
          <w:szCs w:val="24"/>
        </w:rPr>
        <w:t>un délit contre les biens prévu par le livre I</w:t>
      </w:r>
      <w:r>
        <w:rPr>
          <w:rFonts w:ascii="Times New Roman" w:hAnsi="Times New Roman" w:cs="Times New Roman"/>
          <w:sz w:val="24"/>
          <w:szCs w:val="24"/>
        </w:rPr>
        <w:t>II du même code et accompagné d’</w:t>
      </w:r>
      <w:r w:rsidRPr="00CB193B">
        <w:rPr>
          <w:rFonts w:ascii="Times New Roman" w:hAnsi="Times New Roman" w:cs="Times New Roman"/>
          <w:sz w:val="24"/>
          <w:szCs w:val="24"/>
        </w:rPr>
        <w:t>att</w:t>
      </w:r>
      <w:r>
        <w:rPr>
          <w:rFonts w:ascii="Times New Roman" w:hAnsi="Times New Roman" w:cs="Times New Roman"/>
          <w:sz w:val="24"/>
          <w:szCs w:val="24"/>
        </w:rPr>
        <w:t>eintes à la personne</w:t>
      </w:r>
      <w:r w:rsidR="00F2721F">
        <w:rPr>
          <w:rFonts w:ascii="Times New Roman" w:hAnsi="Times New Roman" w:cs="Times New Roman"/>
          <w:sz w:val="24"/>
          <w:szCs w:val="24"/>
        </w:rPr>
        <w:t> »</w:t>
      </w:r>
      <w:r>
        <w:rPr>
          <w:rFonts w:ascii="Times New Roman" w:hAnsi="Times New Roman" w:cs="Times New Roman"/>
          <w:sz w:val="24"/>
          <w:szCs w:val="24"/>
        </w:rPr>
        <w:t>, le juge d’</w:t>
      </w:r>
      <w:r w:rsidRPr="00CB193B">
        <w:rPr>
          <w:rFonts w:ascii="Times New Roman" w:hAnsi="Times New Roman" w:cs="Times New Roman"/>
          <w:sz w:val="24"/>
          <w:szCs w:val="24"/>
        </w:rPr>
        <w:t xml:space="preserve">instruction </w:t>
      </w:r>
      <w:r w:rsidR="00F2721F">
        <w:rPr>
          <w:rFonts w:ascii="Times New Roman" w:hAnsi="Times New Roman" w:cs="Times New Roman"/>
          <w:sz w:val="24"/>
          <w:szCs w:val="24"/>
        </w:rPr>
        <w:t>l’</w:t>
      </w:r>
      <w:r w:rsidRPr="00CB193B">
        <w:rPr>
          <w:rFonts w:ascii="Times New Roman" w:hAnsi="Times New Roman" w:cs="Times New Roman"/>
          <w:sz w:val="24"/>
          <w:szCs w:val="24"/>
        </w:rPr>
        <w:t xml:space="preserve">avise tous les six mois </w:t>
      </w:r>
      <w:r>
        <w:rPr>
          <w:rFonts w:ascii="Times New Roman" w:hAnsi="Times New Roman" w:cs="Times New Roman"/>
          <w:sz w:val="24"/>
          <w:szCs w:val="24"/>
        </w:rPr>
        <w:t xml:space="preserve">de </w:t>
      </w:r>
      <w:r w:rsidR="00F2721F">
        <w:rPr>
          <w:rFonts w:ascii="Times New Roman" w:hAnsi="Times New Roman" w:cs="Times New Roman"/>
          <w:sz w:val="24"/>
          <w:szCs w:val="24"/>
        </w:rPr>
        <w:t>« </w:t>
      </w:r>
      <w:r>
        <w:rPr>
          <w:rFonts w:ascii="Times New Roman" w:hAnsi="Times New Roman" w:cs="Times New Roman"/>
          <w:sz w:val="24"/>
          <w:szCs w:val="24"/>
        </w:rPr>
        <w:t>l’état d’avancement de l’</w:t>
      </w:r>
      <w:r w:rsidRPr="00CB193B">
        <w:rPr>
          <w:rFonts w:ascii="Times New Roman" w:hAnsi="Times New Roman" w:cs="Times New Roman"/>
          <w:sz w:val="24"/>
          <w:szCs w:val="24"/>
        </w:rPr>
        <w:t>information »</w:t>
      </w:r>
      <w:r>
        <w:rPr>
          <w:rStyle w:val="Appelnotedebasdep"/>
          <w:rFonts w:ascii="Times New Roman" w:hAnsi="Times New Roman" w:cs="Times New Roman"/>
          <w:sz w:val="24"/>
          <w:szCs w:val="24"/>
        </w:rPr>
        <w:footnoteReference w:id="15"/>
      </w:r>
      <w:r w:rsidRPr="00CB193B">
        <w:rPr>
          <w:rFonts w:ascii="Times New Roman" w:hAnsi="Times New Roman" w:cs="Times New Roman"/>
          <w:sz w:val="24"/>
          <w:szCs w:val="24"/>
        </w:rPr>
        <w:t xml:space="preserve">. </w:t>
      </w:r>
      <w:r w:rsidR="00705210" w:rsidRPr="00705210">
        <w:rPr>
          <w:rFonts w:ascii="Times New Roman" w:hAnsi="Times New Roman" w:cs="Times New Roman"/>
          <w:sz w:val="24"/>
          <w:szCs w:val="24"/>
        </w:rPr>
        <w:t>De même, « l</w:t>
      </w:r>
      <w:r w:rsidR="00CB0153" w:rsidRPr="00705210">
        <w:rPr>
          <w:rFonts w:ascii="Times New Roman" w:hAnsi="Times New Roman" w:cs="Times New Roman"/>
          <w:sz w:val="24"/>
          <w:szCs w:val="24"/>
        </w:rPr>
        <w:t>orsque la personne</w:t>
      </w:r>
      <w:r w:rsidR="00705210" w:rsidRPr="00705210">
        <w:rPr>
          <w:rFonts w:ascii="Times New Roman" w:hAnsi="Times New Roman" w:cs="Times New Roman"/>
          <w:sz w:val="24"/>
          <w:szCs w:val="24"/>
        </w:rPr>
        <w:t xml:space="preserve"> mise en examen est soumise à l’</w:t>
      </w:r>
      <w:r w:rsidR="00CB0153" w:rsidRPr="00705210">
        <w:rPr>
          <w:rFonts w:ascii="Times New Roman" w:hAnsi="Times New Roman" w:cs="Times New Roman"/>
          <w:sz w:val="24"/>
          <w:szCs w:val="24"/>
        </w:rPr>
        <w:t>interdiction de recevoir</w:t>
      </w:r>
      <w:r w:rsidR="00705210" w:rsidRPr="00705210">
        <w:rPr>
          <w:rFonts w:ascii="Times New Roman" w:hAnsi="Times New Roman" w:cs="Times New Roman"/>
          <w:sz w:val="24"/>
          <w:szCs w:val="24"/>
        </w:rPr>
        <w:t>, ou rencontrer la victime ou d’</w:t>
      </w:r>
      <w:r w:rsidR="00CB0153" w:rsidRPr="00705210">
        <w:rPr>
          <w:rFonts w:ascii="Times New Roman" w:hAnsi="Times New Roman" w:cs="Times New Roman"/>
          <w:sz w:val="24"/>
          <w:szCs w:val="24"/>
        </w:rPr>
        <w:t xml:space="preserve">entrer en relation de quelque façon que ce soit avec elle </w:t>
      </w:r>
      <w:r w:rsidR="00705210" w:rsidRPr="00705210">
        <w:rPr>
          <w:rFonts w:ascii="Times New Roman" w:hAnsi="Times New Roman" w:cs="Times New Roman"/>
          <w:sz w:val="24"/>
          <w:szCs w:val="24"/>
        </w:rPr>
        <w:t>[...]</w:t>
      </w:r>
      <w:r w:rsidR="00705210">
        <w:rPr>
          <w:rFonts w:ascii="Times New Roman" w:hAnsi="Times New Roman" w:cs="Times New Roman"/>
          <w:sz w:val="24"/>
          <w:szCs w:val="24"/>
        </w:rPr>
        <w:t>, le juge d’</w:t>
      </w:r>
      <w:r w:rsidR="00CB0153" w:rsidRPr="00705210">
        <w:rPr>
          <w:rFonts w:ascii="Times New Roman" w:hAnsi="Times New Roman" w:cs="Times New Roman"/>
          <w:sz w:val="24"/>
          <w:szCs w:val="24"/>
        </w:rPr>
        <w:t>instruction ou le juge des libertés et de la détenti</w:t>
      </w:r>
      <w:r w:rsidR="00705210">
        <w:rPr>
          <w:rFonts w:ascii="Times New Roman" w:hAnsi="Times New Roman" w:cs="Times New Roman"/>
          <w:sz w:val="24"/>
          <w:szCs w:val="24"/>
        </w:rPr>
        <w:t>on adresse à celle-ci un avis l’</w:t>
      </w:r>
      <w:r w:rsidR="00CB0153" w:rsidRPr="00705210">
        <w:rPr>
          <w:rFonts w:ascii="Times New Roman" w:hAnsi="Times New Roman" w:cs="Times New Roman"/>
          <w:sz w:val="24"/>
          <w:szCs w:val="24"/>
        </w:rPr>
        <w:t>informant de cette mesure</w:t>
      </w:r>
      <w:r w:rsidR="0039381C">
        <w:rPr>
          <w:rFonts w:ascii="Times New Roman" w:hAnsi="Times New Roman" w:cs="Times New Roman"/>
          <w:sz w:val="24"/>
          <w:szCs w:val="24"/>
        </w:rPr>
        <w:t xml:space="preserve"> </w:t>
      </w:r>
      <w:r w:rsidR="00705210">
        <w:rPr>
          <w:rFonts w:ascii="Times New Roman" w:hAnsi="Times New Roman" w:cs="Times New Roman"/>
          <w:sz w:val="24"/>
          <w:szCs w:val="24"/>
        </w:rPr>
        <w:t>»</w:t>
      </w:r>
      <w:r w:rsidR="00705210">
        <w:rPr>
          <w:rStyle w:val="Appelnotedebasdep"/>
          <w:rFonts w:ascii="Times New Roman" w:hAnsi="Times New Roman" w:cs="Times New Roman"/>
          <w:sz w:val="24"/>
          <w:szCs w:val="24"/>
        </w:rPr>
        <w:footnoteReference w:id="16"/>
      </w:r>
      <w:r w:rsidR="00F2721F">
        <w:rPr>
          <w:rFonts w:ascii="Times New Roman" w:hAnsi="Times New Roman" w:cs="Times New Roman"/>
          <w:sz w:val="24"/>
          <w:szCs w:val="24"/>
        </w:rPr>
        <w:t>.</w:t>
      </w:r>
    </w:p>
    <w:p w:rsidR="00CB0153" w:rsidRDefault="00CB0153" w:rsidP="007D57E5">
      <w:pPr>
        <w:spacing w:after="0" w:line="360" w:lineRule="auto"/>
        <w:jc w:val="both"/>
        <w:rPr>
          <w:rFonts w:ascii="Times New Roman" w:hAnsi="Times New Roman" w:cs="Times New Roman"/>
          <w:b/>
          <w:sz w:val="24"/>
          <w:szCs w:val="24"/>
        </w:rPr>
      </w:pPr>
    </w:p>
    <w:p w:rsidR="00705210" w:rsidRPr="00705210" w:rsidRDefault="00705210" w:rsidP="007D57E5">
      <w:pPr>
        <w:spacing w:after="0" w:line="360" w:lineRule="auto"/>
        <w:jc w:val="both"/>
        <w:rPr>
          <w:rFonts w:ascii="Times New Roman" w:hAnsi="Times New Roman" w:cs="Times New Roman"/>
          <w:sz w:val="24"/>
          <w:szCs w:val="24"/>
        </w:rPr>
      </w:pPr>
      <w:r w:rsidRPr="00705210">
        <w:rPr>
          <w:rFonts w:ascii="Times New Roman" w:hAnsi="Times New Roman" w:cs="Times New Roman"/>
          <w:sz w:val="24"/>
          <w:szCs w:val="24"/>
        </w:rPr>
        <w:t xml:space="preserve">Au-delà de cela, </w:t>
      </w:r>
      <w:r w:rsidR="00F2721F">
        <w:rPr>
          <w:rFonts w:ascii="Times New Roman" w:hAnsi="Times New Roman" w:cs="Times New Roman"/>
          <w:sz w:val="24"/>
          <w:szCs w:val="24"/>
        </w:rPr>
        <w:t>en raison, sans doute, du rôle probatoire stratégique joué par l’expertise, de même, peut-être, qu’en raison du caractère humain de cette procédure, l’information des parties s’y trouve particulièrement encadrée</w:t>
      </w:r>
      <w:r w:rsidR="004254A7">
        <w:rPr>
          <w:rFonts w:ascii="Times New Roman" w:hAnsi="Times New Roman" w:cs="Times New Roman"/>
          <w:sz w:val="24"/>
          <w:szCs w:val="24"/>
        </w:rPr>
        <w:t xml:space="preserve"> ; </w:t>
      </w:r>
      <w:r w:rsidR="00445B74">
        <w:rPr>
          <w:rFonts w:ascii="Times New Roman" w:hAnsi="Times New Roman" w:cs="Times New Roman"/>
          <w:sz w:val="24"/>
          <w:szCs w:val="24"/>
        </w:rPr>
        <w:t>davantage</w:t>
      </w:r>
      <w:r w:rsidR="004254A7">
        <w:rPr>
          <w:rFonts w:ascii="Times New Roman" w:hAnsi="Times New Roman" w:cs="Times New Roman"/>
          <w:sz w:val="24"/>
          <w:szCs w:val="24"/>
        </w:rPr>
        <w:t xml:space="preserve">, en tous les cas, qu’en ce qui concerne </w:t>
      </w:r>
      <w:r w:rsidR="003E06C0">
        <w:rPr>
          <w:rFonts w:ascii="Times New Roman" w:hAnsi="Times New Roman" w:cs="Times New Roman"/>
          <w:sz w:val="24"/>
          <w:szCs w:val="24"/>
        </w:rPr>
        <w:t>la plupart des</w:t>
      </w:r>
      <w:r w:rsidR="004254A7">
        <w:rPr>
          <w:rFonts w:ascii="Times New Roman" w:hAnsi="Times New Roman" w:cs="Times New Roman"/>
          <w:sz w:val="24"/>
          <w:szCs w:val="24"/>
        </w:rPr>
        <w:t xml:space="preserve"> autres actes</w:t>
      </w:r>
      <w:r w:rsidR="00257F06">
        <w:rPr>
          <w:rFonts w:ascii="Times New Roman" w:hAnsi="Times New Roman" w:cs="Times New Roman"/>
          <w:sz w:val="24"/>
          <w:szCs w:val="24"/>
        </w:rPr>
        <w:t xml:space="preserve"> intervenant durant l’</w:t>
      </w:r>
      <w:r w:rsidR="004254A7">
        <w:rPr>
          <w:rFonts w:ascii="Times New Roman" w:hAnsi="Times New Roman" w:cs="Times New Roman"/>
          <w:sz w:val="24"/>
          <w:szCs w:val="24"/>
        </w:rPr>
        <w:t>instruction</w:t>
      </w:r>
      <w:r w:rsidR="00F2721F">
        <w:rPr>
          <w:rStyle w:val="Appelnotedebasdep"/>
          <w:rFonts w:ascii="Times New Roman" w:hAnsi="Times New Roman" w:cs="Times New Roman"/>
          <w:sz w:val="24"/>
          <w:szCs w:val="24"/>
        </w:rPr>
        <w:footnoteReference w:id="17"/>
      </w:r>
      <w:r w:rsidR="00F2721F">
        <w:rPr>
          <w:rFonts w:ascii="Times New Roman" w:hAnsi="Times New Roman" w:cs="Times New Roman"/>
          <w:sz w:val="24"/>
          <w:szCs w:val="24"/>
        </w:rPr>
        <w:t>.</w:t>
      </w:r>
    </w:p>
    <w:p w:rsidR="00DD79EF" w:rsidRDefault="00DD79EF" w:rsidP="007D57E5">
      <w:pPr>
        <w:spacing w:after="0" w:line="360" w:lineRule="auto"/>
        <w:jc w:val="both"/>
        <w:rPr>
          <w:rFonts w:ascii="Times New Roman" w:hAnsi="Times New Roman" w:cs="Times New Roman"/>
          <w:b/>
          <w:sz w:val="24"/>
          <w:szCs w:val="24"/>
        </w:rPr>
      </w:pPr>
    </w:p>
    <w:p w:rsidR="00402342" w:rsidRPr="0035241B" w:rsidRDefault="00402342" w:rsidP="00402342">
      <w:pPr>
        <w:spacing w:after="0" w:line="360" w:lineRule="auto"/>
        <w:jc w:val="both"/>
        <w:rPr>
          <w:rFonts w:ascii="Times New Roman" w:hAnsi="Times New Roman" w:cs="Times New Roman"/>
          <w:sz w:val="24"/>
          <w:szCs w:val="24"/>
        </w:rPr>
      </w:pPr>
      <w:r w:rsidRPr="00AD4524">
        <w:rPr>
          <w:rFonts w:ascii="Times New Roman" w:hAnsi="Times New Roman" w:cs="Times New Roman"/>
          <w:sz w:val="24"/>
          <w:szCs w:val="24"/>
        </w:rPr>
        <w:t>L</w:t>
      </w:r>
      <w:r w:rsidR="00DD79EF" w:rsidRPr="00AD4524">
        <w:rPr>
          <w:rFonts w:ascii="Times New Roman" w:hAnsi="Times New Roman" w:cs="Times New Roman"/>
          <w:sz w:val="24"/>
          <w:szCs w:val="24"/>
        </w:rPr>
        <w:t xml:space="preserve">’enquête, </w:t>
      </w:r>
      <w:r w:rsidRPr="00AD4524">
        <w:rPr>
          <w:rFonts w:ascii="Times New Roman" w:hAnsi="Times New Roman" w:cs="Times New Roman"/>
          <w:sz w:val="24"/>
          <w:szCs w:val="24"/>
        </w:rPr>
        <w:t>quant à elle, ne représente pas tant le cœur de l’information de parties qui n’en sont pas encore tout à fait, que son point de départ. Aussi est-il logique qu’elle constitue le moment où « les officiers et les agents de police judiciaire informent par tout moyen les victimes » de leurs différents droits</w:t>
      </w:r>
      <w:r w:rsidR="00DD501E" w:rsidRPr="00AD4524">
        <w:rPr>
          <w:rStyle w:val="Appelnotedebasdep"/>
          <w:rFonts w:ascii="Times New Roman" w:hAnsi="Times New Roman" w:cs="Times New Roman"/>
          <w:sz w:val="24"/>
          <w:szCs w:val="24"/>
        </w:rPr>
        <w:footnoteReference w:id="18"/>
      </w:r>
      <w:r w:rsidR="0031466D" w:rsidRPr="00AD4524">
        <w:rPr>
          <w:rFonts w:ascii="Times New Roman" w:hAnsi="Times New Roman" w:cs="Times New Roman"/>
          <w:sz w:val="24"/>
          <w:szCs w:val="24"/>
        </w:rPr>
        <w:t>. L</w:t>
      </w:r>
      <w:r w:rsidR="00DD501E" w:rsidRPr="00AD4524">
        <w:rPr>
          <w:rFonts w:ascii="Times New Roman" w:hAnsi="Times New Roman" w:cs="Times New Roman"/>
          <w:sz w:val="24"/>
          <w:szCs w:val="24"/>
        </w:rPr>
        <w:t>e su</w:t>
      </w:r>
      <w:r w:rsidR="0031466D" w:rsidRPr="00AD4524">
        <w:rPr>
          <w:rFonts w:ascii="Times New Roman" w:hAnsi="Times New Roman" w:cs="Times New Roman"/>
          <w:sz w:val="24"/>
          <w:szCs w:val="24"/>
        </w:rPr>
        <w:t>spect, lui, ne le devient bien souvent qu’avec la garde à vue</w:t>
      </w:r>
      <w:r w:rsidR="00E4204C" w:rsidRPr="00AD4524">
        <w:rPr>
          <w:rFonts w:ascii="Times New Roman" w:hAnsi="Times New Roman" w:cs="Times New Roman"/>
          <w:sz w:val="24"/>
          <w:szCs w:val="24"/>
        </w:rPr>
        <w:t xml:space="preserve"> ou, du moins, son audition</w:t>
      </w:r>
      <w:r w:rsidR="0031466D" w:rsidRPr="00AD4524">
        <w:rPr>
          <w:rFonts w:ascii="Times New Roman" w:hAnsi="Times New Roman" w:cs="Times New Roman"/>
          <w:sz w:val="24"/>
          <w:szCs w:val="24"/>
        </w:rPr>
        <w:t xml:space="preserve"> ; aussi celle-ci constitue-t-elle l’évènement au cours duquel ses droits lui sont notifiés, de même que </w:t>
      </w:r>
      <w:r w:rsidR="00AD4524" w:rsidRPr="00AD4524">
        <w:rPr>
          <w:rFonts w:ascii="Times New Roman" w:hAnsi="Times New Roman" w:cs="Times New Roman"/>
          <w:sz w:val="24"/>
          <w:szCs w:val="24"/>
        </w:rPr>
        <w:t>s’ouvre alors à lui un accès partiel au dossier de la procédure</w:t>
      </w:r>
      <w:r w:rsidR="00AD4524" w:rsidRPr="00AD4524">
        <w:rPr>
          <w:rStyle w:val="Appelnotedebasdep"/>
          <w:rFonts w:ascii="Times New Roman" w:hAnsi="Times New Roman" w:cs="Times New Roman"/>
          <w:sz w:val="24"/>
          <w:szCs w:val="24"/>
        </w:rPr>
        <w:footnoteReference w:id="19"/>
      </w:r>
      <w:r w:rsidR="00AD4524" w:rsidRPr="00AD4524">
        <w:rPr>
          <w:rFonts w:ascii="Times New Roman" w:hAnsi="Times New Roman" w:cs="Times New Roman"/>
          <w:sz w:val="24"/>
          <w:szCs w:val="24"/>
        </w:rPr>
        <w:t xml:space="preserve">. En enquête préliminaire, il est désormais prévu </w:t>
      </w:r>
      <w:r w:rsidR="00AD4524">
        <w:rPr>
          <w:rFonts w:ascii="Times New Roman" w:hAnsi="Times New Roman" w:cs="Times New Roman"/>
          <w:sz w:val="24"/>
          <w:szCs w:val="24"/>
        </w:rPr>
        <w:t>que, « à</w:t>
      </w:r>
      <w:r w:rsidR="00AD4524" w:rsidRPr="00AD4524">
        <w:rPr>
          <w:rFonts w:ascii="Times New Roman" w:hAnsi="Times New Roman" w:cs="Times New Roman"/>
          <w:sz w:val="24"/>
          <w:szCs w:val="24"/>
        </w:rPr>
        <w:t xml:space="preserve"> tout moment de la procédure</w:t>
      </w:r>
      <w:r w:rsidR="00AD4524">
        <w:rPr>
          <w:rFonts w:ascii="Times New Roman" w:hAnsi="Times New Roman" w:cs="Times New Roman"/>
          <w:sz w:val="24"/>
          <w:szCs w:val="24"/>
        </w:rPr>
        <w:t>, même en l’</w:t>
      </w:r>
      <w:r w:rsidR="00AD4524" w:rsidRPr="00AD4524">
        <w:rPr>
          <w:rFonts w:ascii="Times New Roman" w:hAnsi="Times New Roman" w:cs="Times New Roman"/>
          <w:sz w:val="24"/>
          <w:szCs w:val="24"/>
        </w:rPr>
        <w:t xml:space="preserve">absence de demande </w:t>
      </w:r>
      <w:r w:rsidR="00AD4524">
        <w:rPr>
          <w:rFonts w:ascii="Times New Roman" w:hAnsi="Times New Roman" w:cs="Times New Roman"/>
          <w:sz w:val="24"/>
          <w:szCs w:val="24"/>
        </w:rPr>
        <w:t>[...]</w:t>
      </w:r>
      <w:r w:rsidR="00AD4524" w:rsidRPr="00AD4524">
        <w:rPr>
          <w:rFonts w:ascii="Times New Roman" w:hAnsi="Times New Roman" w:cs="Times New Roman"/>
          <w:sz w:val="24"/>
          <w:szCs w:val="24"/>
        </w:rPr>
        <w:t>, le procureur de la République peut communiquer tout ou partie de la procédure à la personne mise en cause ou à la victime pour recueillir leurs éventuelles observa</w:t>
      </w:r>
      <w:r w:rsidR="00AD4524">
        <w:rPr>
          <w:rFonts w:ascii="Times New Roman" w:hAnsi="Times New Roman" w:cs="Times New Roman"/>
          <w:sz w:val="24"/>
          <w:szCs w:val="24"/>
        </w:rPr>
        <w:t>tions ou celles de leur avocat ». À défaut, le suspect qui a été auditionné peut demander de le consulter</w:t>
      </w:r>
      <w:r w:rsidR="00AD4524" w:rsidRPr="00AD4524">
        <w:rPr>
          <w:rFonts w:ascii="Times New Roman" w:hAnsi="Times New Roman" w:cs="Times New Roman"/>
          <w:sz w:val="24"/>
          <w:szCs w:val="24"/>
        </w:rPr>
        <w:t xml:space="preserve"> </w:t>
      </w:r>
      <w:r w:rsidR="00AD4524">
        <w:rPr>
          <w:rFonts w:ascii="Times New Roman" w:hAnsi="Times New Roman" w:cs="Times New Roman"/>
          <w:sz w:val="24"/>
          <w:szCs w:val="24"/>
        </w:rPr>
        <w:t>« un an après l’</w:t>
      </w:r>
      <w:r w:rsidR="00AD4524" w:rsidRPr="00AD4524">
        <w:rPr>
          <w:rFonts w:ascii="Times New Roman" w:hAnsi="Times New Roman" w:cs="Times New Roman"/>
          <w:sz w:val="24"/>
          <w:szCs w:val="24"/>
        </w:rPr>
        <w:t>accomplissement du premier</w:t>
      </w:r>
      <w:r w:rsidR="0035241B">
        <w:rPr>
          <w:rFonts w:ascii="Times New Roman" w:hAnsi="Times New Roman" w:cs="Times New Roman"/>
          <w:sz w:val="24"/>
          <w:szCs w:val="24"/>
        </w:rPr>
        <w:t> »</w:t>
      </w:r>
      <w:r w:rsidR="00AD4524" w:rsidRPr="00AD4524">
        <w:rPr>
          <w:rFonts w:ascii="Times New Roman" w:hAnsi="Times New Roman" w:cs="Times New Roman"/>
          <w:sz w:val="24"/>
          <w:szCs w:val="24"/>
        </w:rPr>
        <w:t xml:space="preserve"> de</w:t>
      </w:r>
      <w:r w:rsidR="0035241B">
        <w:rPr>
          <w:rFonts w:ascii="Times New Roman" w:hAnsi="Times New Roman" w:cs="Times New Roman"/>
          <w:sz w:val="24"/>
          <w:szCs w:val="24"/>
        </w:rPr>
        <w:t>s actes qu’il a subis. La victime plaignante est alors avisée par le</w:t>
      </w:r>
      <w:r w:rsidR="0035241B" w:rsidRPr="0035241B">
        <w:rPr>
          <w:rFonts w:ascii="Times New Roman" w:hAnsi="Times New Roman" w:cs="Times New Roman"/>
          <w:sz w:val="24"/>
          <w:szCs w:val="24"/>
        </w:rPr>
        <w:t xml:space="preserve"> procureur de la République </w:t>
      </w:r>
      <w:r w:rsidR="0035241B">
        <w:rPr>
          <w:rFonts w:ascii="Times New Roman" w:hAnsi="Times New Roman" w:cs="Times New Roman"/>
          <w:sz w:val="24"/>
          <w:szCs w:val="24"/>
        </w:rPr>
        <w:t>« qu’</w:t>
      </w:r>
      <w:r w:rsidR="0035241B" w:rsidRPr="0035241B">
        <w:rPr>
          <w:rFonts w:ascii="Times New Roman" w:hAnsi="Times New Roman" w:cs="Times New Roman"/>
          <w:sz w:val="24"/>
          <w:szCs w:val="24"/>
        </w:rPr>
        <w:t>elle dispose des mêmes droits dans les mêmes conditions</w:t>
      </w:r>
      <w:r w:rsidR="0035241B">
        <w:rPr>
          <w:rFonts w:ascii="Times New Roman" w:hAnsi="Times New Roman" w:cs="Times New Roman"/>
          <w:sz w:val="24"/>
          <w:szCs w:val="24"/>
        </w:rPr>
        <w:t> »</w:t>
      </w:r>
      <w:r w:rsidR="0035241B">
        <w:rPr>
          <w:rStyle w:val="Appelnotedebasdep"/>
          <w:rFonts w:ascii="Times New Roman" w:hAnsi="Times New Roman" w:cs="Times New Roman"/>
          <w:sz w:val="24"/>
          <w:szCs w:val="24"/>
        </w:rPr>
        <w:footnoteReference w:id="20"/>
      </w:r>
      <w:r w:rsidR="0035241B" w:rsidRPr="0035241B">
        <w:rPr>
          <w:rFonts w:ascii="Times New Roman" w:hAnsi="Times New Roman" w:cs="Times New Roman"/>
          <w:sz w:val="24"/>
          <w:szCs w:val="24"/>
        </w:rPr>
        <w:t>.</w:t>
      </w:r>
    </w:p>
    <w:p w:rsidR="00DD79EF" w:rsidRDefault="00DD79EF" w:rsidP="007D57E5">
      <w:pPr>
        <w:spacing w:after="0" w:line="360" w:lineRule="auto"/>
        <w:jc w:val="both"/>
        <w:rPr>
          <w:rFonts w:ascii="Times New Roman" w:hAnsi="Times New Roman" w:cs="Times New Roman"/>
          <w:sz w:val="24"/>
          <w:szCs w:val="24"/>
        </w:rPr>
      </w:pPr>
    </w:p>
    <w:p w:rsidR="00632744" w:rsidRPr="00632744" w:rsidRDefault="00632744" w:rsidP="006327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victime est également tenue au courant des choix effectués par le ministère public en ce qui concerne l’opportunité des poursuites, essentiellement d’une décision de classement sans suite, avec les</w:t>
      </w:r>
      <w:r w:rsidRPr="003B0CB3">
        <w:rPr>
          <w:rFonts w:ascii="Times New Roman" w:hAnsi="Times New Roman" w:cs="Times New Roman"/>
          <w:sz w:val="24"/>
          <w:szCs w:val="24"/>
        </w:rPr>
        <w:t xml:space="preserve"> « </w:t>
      </w:r>
      <w:r w:rsidRPr="003B0CB3">
        <w:rPr>
          <w:rFonts w:ascii="Times New Roman" w:hAnsi="Times New Roman" w:cs="Times New Roman"/>
          <w:iCs/>
          <w:sz w:val="24"/>
          <w:szCs w:val="24"/>
        </w:rPr>
        <w:t>raisons juridiques ou d’opportunité qui la justifient</w:t>
      </w:r>
      <w:r>
        <w:rPr>
          <w:rFonts w:ascii="Times New Roman" w:hAnsi="Times New Roman" w:cs="Times New Roman"/>
          <w:sz w:val="24"/>
          <w:szCs w:val="24"/>
        </w:rPr>
        <w:t> » afin, le cas échéant, qu’elle puisse réagir en vertu de ses prérogatives</w:t>
      </w:r>
      <w:r>
        <w:rPr>
          <w:rStyle w:val="Appelnotedebasdep"/>
          <w:rFonts w:ascii="Times New Roman" w:hAnsi="Times New Roman" w:cs="Times New Roman"/>
          <w:sz w:val="24"/>
          <w:szCs w:val="24"/>
        </w:rPr>
        <w:footnoteReference w:id="21"/>
      </w:r>
      <w:r>
        <w:rPr>
          <w:rFonts w:ascii="Times New Roman" w:hAnsi="Times New Roman" w:cs="Times New Roman"/>
          <w:sz w:val="24"/>
          <w:szCs w:val="24"/>
        </w:rPr>
        <w:t>. Il est aussi prévu, en ce qui la concerne, qu’en cas d’évasion d’</w:t>
      </w:r>
      <w:r w:rsidRPr="00632744">
        <w:rPr>
          <w:rFonts w:ascii="Times New Roman" w:hAnsi="Times New Roman" w:cs="Times New Roman"/>
          <w:sz w:val="24"/>
          <w:szCs w:val="24"/>
        </w:rPr>
        <w:t xml:space="preserve">une personne, le procureur de la République </w:t>
      </w:r>
      <w:r>
        <w:rPr>
          <w:rFonts w:ascii="Times New Roman" w:hAnsi="Times New Roman" w:cs="Times New Roman"/>
          <w:sz w:val="24"/>
          <w:szCs w:val="24"/>
        </w:rPr>
        <w:t>l’en informe sans délai, « </w:t>
      </w:r>
      <w:r w:rsidRPr="00632744">
        <w:rPr>
          <w:rFonts w:ascii="Times New Roman" w:hAnsi="Times New Roman" w:cs="Times New Roman"/>
          <w:sz w:val="24"/>
          <w:szCs w:val="24"/>
        </w:rPr>
        <w:t>dès lors que cette évas</w:t>
      </w:r>
      <w:r>
        <w:rPr>
          <w:rFonts w:ascii="Times New Roman" w:hAnsi="Times New Roman" w:cs="Times New Roman"/>
          <w:sz w:val="24"/>
          <w:szCs w:val="24"/>
        </w:rPr>
        <w:t>ion est susceptible de [</w:t>
      </w:r>
      <w:r w:rsidRPr="00632744">
        <w:rPr>
          <w:rFonts w:ascii="Times New Roman" w:hAnsi="Times New Roman" w:cs="Times New Roman"/>
          <w:sz w:val="24"/>
          <w:szCs w:val="24"/>
        </w:rPr>
        <w:t>faire courir</w:t>
      </w:r>
      <w:r>
        <w:rPr>
          <w:rFonts w:ascii="Times New Roman" w:hAnsi="Times New Roman" w:cs="Times New Roman"/>
          <w:sz w:val="24"/>
          <w:szCs w:val="24"/>
        </w:rPr>
        <w:t xml:space="preserve"> à sa famille ou à elle] un risque et sauf s’</w:t>
      </w:r>
      <w:r w:rsidRPr="00632744">
        <w:rPr>
          <w:rFonts w:ascii="Times New Roman" w:hAnsi="Times New Roman" w:cs="Times New Roman"/>
          <w:sz w:val="24"/>
          <w:szCs w:val="24"/>
        </w:rPr>
        <w:t>il ne paraît pas opportun de communiquer cette inf</w:t>
      </w:r>
      <w:r>
        <w:rPr>
          <w:rFonts w:ascii="Times New Roman" w:hAnsi="Times New Roman" w:cs="Times New Roman"/>
          <w:sz w:val="24"/>
          <w:szCs w:val="24"/>
        </w:rPr>
        <w:t>ormation au regard du risque qu’elle pourrait entraîner pour l’</w:t>
      </w:r>
      <w:r w:rsidRPr="00632744">
        <w:rPr>
          <w:rFonts w:ascii="Times New Roman" w:hAnsi="Times New Roman" w:cs="Times New Roman"/>
          <w:sz w:val="24"/>
          <w:szCs w:val="24"/>
        </w:rPr>
        <w:t>auteur des faits</w:t>
      </w:r>
      <w:r>
        <w:rPr>
          <w:rFonts w:ascii="Times New Roman" w:hAnsi="Times New Roman" w:cs="Times New Roman"/>
          <w:sz w:val="24"/>
          <w:szCs w:val="24"/>
        </w:rPr>
        <w:t> »</w:t>
      </w:r>
      <w:r w:rsidRPr="00632744">
        <w:rPr>
          <w:rFonts w:ascii="Times New Roman" w:hAnsi="Times New Roman" w:cs="Times New Roman"/>
          <w:sz w:val="24"/>
          <w:szCs w:val="24"/>
        </w:rPr>
        <w:t>.</w:t>
      </w:r>
    </w:p>
    <w:p w:rsidR="00AD4524" w:rsidRDefault="00AD4524" w:rsidP="007D57E5">
      <w:pPr>
        <w:spacing w:after="0" w:line="360" w:lineRule="auto"/>
        <w:jc w:val="both"/>
        <w:rPr>
          <w:rFonts w:ascii="Times New Roman" w:hAnsi="Times New Roman" w:cs="Times New Roman"/>
          <w:sz w:val="24"/>
          <w:szCs w:val="24"/>
        </w:rPr>
      </w:pPr>
    </w:p>
    <w:p w:rsidR="0039381C" w:rsidRDefault="00D66C0E" w:rsidP="007D57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Ce droit à l’information, tant du mis en cause que la victime, est étroitement lié à leur droit à l’assistance par un défenseur.</w:t>
      </w:r>
      <w:r w:rsidR="0039381C">
        <w:rPr>
          <w:rFonts w:ascii="Times New Roman" w:hAnsi="Times New Roman" w:cs="Times New Roman"/>
          <w:sz w:val="24"/>
          <w:szCs w:val="24"/>
        </w:rPr>
        <w:t xml:space="preserve"> </w:t>
      </w:r>
      <w:r w:rsidR="009A34F4" w:rsidRPr="009A34F4">
        <w:rPr>
          <w:rFonts w:ascii="Times New Roman" w:hAnsi="Times New Roman" w:cs="Times New Roman"/>
          <w:sz w:val="24"/>
          <w:szCs w:val="24"/>
        </w:rPr>
        <w:t xml:space="preserve">De ce point de vue, </w:t>
      </w:r>
      <w:r w:rsidR="0039381C">
        <w:rPr>
          <w:rFonts w:ascii="Times New Roman" w:hAnsi="Times New Roman" w:cs="Times New Roman"/>
          <w:sz w:val="24"/>
          <w:szCs w:val="24"/>
        </w:rPr>
        <w:t xml:space="preserve">ensuite, </w:t>
      </w:r>
      <w:r w:rsidR="009A34F4" w:rsidRPr="009A34F4">
        <w:rPr>
          <w:rFonts w:ascii="Times New Roman" w:hAnsi="Times New Roman" w:cs="Times New Roman"/>
          <w:sz w:val="24"/>
          <w:szCs w:val="24"/>
        </w:rPr>
        <w:t xml:space="preserve">les choses </w:t>
      </w:r>
      <w:r w:rsidR="00DE48FC">
        <w:rPr>
          <w:rFonts w:ascii="Times New Roman" w:hAnsi="Times New Roman" w:cs="Times New Roman"/>
          <w:sz w:val="24"/>
          <w:szCs w:val="24"/>
        </w:rPr>
        <w:t>paraissent</w:t>
      </w:r>
      <w:r w:rsidR="009A34F4" w:rsidRPr="009A34F4">
        <w:rPr>
          <w:rFonts w:ascii="Times New Roman" w:hAnsi="Times New Roman" w:cs="Times New Roman"/>
          <w:sz w:val="24"/>
          <w:szCs w:val="24"/>
        </w:rPr>
        <w:t xml:space="preserve"> </w:t>
      </w:r>
      <w:r w:rsidR="00A3408D">
        <w:rPr>
          <w:rFonts w:ascii="Times New Roman" w:hAnsi="Times New Roman" w:cs="Times New Roman"/>
          <w:sz w:val="24"/>
          <w:szCs w:val="24"/>
        </w:rPr>
        <w:t xml:space="preserve">assez </w:t>
      </w:r>
      <w:r w:rsidR="009A34F4" w:rsidRPr="009A34F4">
        <w:rPr>
          <w:rFonts w:ascii="Times New Roman" w:hAnsi="Times New Roman" w:cs="Times New Roman"/>
          <w:sz w:val="24"/>
          <w:szCs w:val="24"/>
        </w:rPr>
        <w:t>claires</w:t>
      </w:r>
      <w:r w:rsidR="00DE48FC">
        <w:rPr>
          <w:rFonts w:ascii="Times New Roman" w:hAnsi="Times New Roman" w:cs="Times New Roman"/>
          <w:sz w:val="24"/>
          <w:szCs w:val="24"/>
        </w:rPr>
        <w:t xml:space="preserve"> depuis longtemps</w:t>
      </w:r>
      <w:r w:rsidR="009A34F4" w:rsidRPr="009A34F4">
        <w:rPr>
          <w:rFonts w:ascii="Times New Roman" w:hAnsi="Times New Roman" w:cs="Times New Roman"/>
          <w:sz w:val="24"/>
          <w:szCs w:val="24"/>
        </w:rPr>
        <w:t xml:space="preserve">, sauf à préciser que la portée </w:t>
      </w:r>
      <w:r w:rsidR="0039381C">
        <w:rPr>
          <w:rFonts w:ascii="Times New Roman" w:hAnsi="Times New Roman" w:cs="Times New Roman"/>
          <w:sz w:val="24"/>
          <w:szCs w:val="24"/>
        </w:rPr>
        <w:t>de ce droit</w:t>
      </w:r>
      <w:r w:rsidR="009A34F4" w:rsidRPr="009A34F4">
        <w:rPr>
          <w:rFonts w:ascii="Times New Roman" w:hAnsi="Times New Roman" w:cs="Times New Roman"/>
          <w:sz w:val="24"/>
          <w:szCs w:val="24"/>
        </w:rPr>
        <w:t xml:space="preserve"> demeure toujours polémique.</w:t>
      </w:r>
    </w:p>
    <w:p w:rsidR="0039381C" w:rsidRDefault="0039381C" w:rsidP="007D57E5">
      <w:pPr>
        <w:spacing w:after="0" w:line="360" w:lineRule="auto"/>
        <w:jc w:val="both"/>
        <w:rPr>
          <w:rFonts w:ascii="Times New Roman" w:hAnsi="Times New Roman" w:cs="Times New Roman"/>
          <w:sz w:val="24"/>
          <w:szCs w:val="24"/>
        </w:rPr>
      </w:pPr>
    </w:p>
    <w:p w:rsidR="00A3408D" w:rsidRPr="00A3408D" w:rsidRDefault="00A3408D" w:rsidP="007D57E5">
      <w:pPr>
        <w:spacing w:after="0" w:line="360" w:lineRule="auto"/>
        <w:jc w:val="both"/>
        <w:rPr>
          <w:rFonts w:ascii="Times New Roman" w:hAnsi="Times New Roman" w:cs="Times New Roman"/>
          <w:sz w:val="24"/>
          <w:szCs w:val="24"/>
        </w:rPr>
      </w:pPr>
      <w:r w:rsidRPr="00A3408D">
        <w:rPr>
          <w:rFonts w:ascii="Times New Roman" w:hAnsi="Times New Roman" w:cs="Times New Roman"/>
          <w:sz w:val="24"/>
          <w:szCs w:val="24"/>
        </w:rPr>
        <w:t>Rappelons</w:t>
      </w:r>
      <w:r w:rsidR="0039381C">
        <w:rPr>
          <w:rFonts w:ascii="Times New Roman" w:hAnsi="Times New Roman" w:cs="Times New Roman"/>
          <w:sz w:val="24"/>
          <w:szCs w:val="24"/>
        </w:rPr>
        <w:t>,</w:t>
      </w:r>
      <w:r w:rsidRPr="00A3408D">
        <w:rPr>
          <w:rFonts w:ascii="Times New Roman" w:hAnsi="Times New Roman" w:cs="Times New Roman"/>
          <w:sz w:val="24"/>
          <w:szCs w:val="24"/>
        </w:rPr>
        <w:t xml:space="preserve"> ainsi, que les lois du </w:t>
      </w:r>
      <w:r>
        <w:rPr>
          <w:rFonts w:ascii="Times New Roman" w:hAnsi="Times New Roman" w:cs="Times New Roman"/>
          <w:sz w:val="24"/>
          <w:szCs w:val="24"/>
        </w:rPr>
        <w:t>8 décembre</w:t>
      </w:r>
      <w:r w:rsidRPr="00A3408D">
        <w:rPr>
          <w:rFonts w:ascii="Times New Roman" w:hAnsi="Times New Roman" w:cs="Times New Roman"/>
          <w:sz w:val="24"/>
          <w:szCs w:val="24"/>
        </w:rPr>
        <w:t xml:space="preserve"> 1897 et 22 mars 1921 ont</w:t>
      </w:r>
      <w:r>
        <w:rPr>
          <w:rFonts w:ascii="Times New Roman" w:hAnsi="Times New Roman" w:cs="Times New Roman"/>
          <w:sz w:val="24"/>
          <w:szCs w:val="24"/>
        </w:rPr>
        <w:t xml:space="preserve"> respectivement</w:t>
      </w:r>
      <w:r w:rsidRPr="00A3408D">
        <w:rPr>
          <w:rFonts w:ascii="Times New Roman" w:hAnsi="Times New Roman" w:cs="Times New Roman"/>
          <w:sz w:val="24"/>
          <w:szCs w:val="24"/>
        </w:rPr>
        <w:t xml:space="preserve">, en matière d’instruction, reconnu le droit à l’avocat pour le mis en </w:t>
      </w:r>
      <w:r>
        <w:rPr>
          <w:rFonts w:ascii="Times New Roman" w:hAnsi="Times New Roman" w:cs="Times New Roman"/>
          <w:sz w:val="24"/>
          <w:szCs w:val="24"/>
        </w:rPr>
        <w:t>examen</w:t>
      </w:r>
      <w:r w:rsidRPr="00A3408D">
        <w:rPr>
          <w:rFonts w:ascii="Times New Roman" w:hAnsi="Times New Roman" w:cs="Times New Roman"/>
          <w:sz w:val="24"/>
          <w:szCs w:val="24"/>
        </w:rPr>
        <w:t xml:space="preserve"> et pour la partie civile</w:t>
      </w:r>
      <w:r>
        <w:rPr>
          <w:rStyle w:val="Appelnotedebasdep"/>
          <w:rFonts w:ascii="Times New Roman" w:hAnsi="Times New Roman" w:cs="Times New Roman"/>
          <w:sz w:val="24"/>
          <w:szCs w:val="24"/>
        </w:rPr>
        <w:footnoteReference w:id="22"/>
      </w:r>
      <w:r w:rsidRPr="00A3408D">
        <w:rPr>
          <w:rFonts w:ascii="Times New Roman" w:hAnsi="Times New Roman" w:cs="Times New Roman"/>
          <w:sz w:val="24"/>
          <w:szCs w:val="24"/>
        </w:rPr>
        <w:t>.</w:t>
      </w:r>
      <w:r>
        <w:rPr>
          <w:rFonts w:ascii="Times New Roman" w:hAnsi="Times New Roman" w:cs="Times New Roman"/>
          <w:sz w:val="24"/>
          <w:szCs w:val="24"/>
        </w:rPr>
        <w:t xml:space="preserve"> Pour l’enquête, il semble que ce droit ait été affirmé, là encore, à travers la garde à vue pour le mis en cause – loi du 4 janvier 1993 –,</w:t>
      </w:r>
      <w:r w:rsidR="005416B9">
        <w:rPr>
          <w:rFonts w:ascii="Times New Roman" w:hAnsi="Times New Roman" w:cs="Times New Roman"/>
          <w:sz w:val="24"/>
          <w:szCs w:val="24"/>
        </w:rPr>
        <w:t xml:space="preserve"> puis</w:t>
      </w:r>
      <w:r>
        <w:rPr>
          <w:rFonts w:ascii="Times New Roman" w:hAnsi="Times New Roman" w:cs="Times New Roman"/>
          <w:sz w:val="24"/>
          <w:szCs w:val="24"/>
        </w:rPr>
        <w:t xml:space="preserve"> à travers l’information de </w:t>
      </w:r>
      <w:r w:rsidR="005416B9">
        <w:rPr>
          <w:rFonts w:ascii="Times New Roman" w:hAnsi="Times New Roman" w:cs="Times New Roman"/>
          <w:sz w:val="24"/>
          <w:szCs w:val="24"/>
        </w:rPr>
        <w:t xml:space="preserve">ce </w:t>
      </w:r>
      <w:r>
        <w:rPr>
          <w:rFonts w:ascii="Times New Roman" w:hAnsi="Times New Roman" w:cs="Times New Roman"/>
          <w:sz w:val="24"/>
          <w:szCs w:val="24"/>
        </w:rPr>
        <w:t xml:space="preserve">droit pour la victime – loi du 9 septembre 2002. C’est alors, sans surprise, pour l’enquête exclusivement que se pose </w:t>
      </w:r>
      <w:r w:rsidR="005416B9">
        <w:rPr>
          <w:rFonts w:ascii="Times New Roman" w:hAnsi="Times New Roman" w:cs="Times New Roman"/>
          <w:sz w:val="24"/>
          <w:szCs w:val="24"/>
        </w:rPr>
        <w:t xml:space="preserve">vraiment </w:t>
      </w:r>
      <w:r>
        <w:rPr>
          <w:rFonts w:ascii="Times New Roman" w:hAnsi="Times New Roman" w:cs="Times New Roman"/>
          <w:sz w:val="24"/>
          <w:szCs w:val="24"/>
        </w:rPr>
        <w:t>le problème de l’effectivité de la présence de l’avocat.</w:t>
      </w:r>
    </w:p>
    <w:p w:rsidR="00A3408D" w:rsidRDefault="00A3408D" w:rsidP="007D57E5">
      <w:pPr>
        <w:spacing w:after="0" w:line="360" w:lineRule="auto"/>
        <w:jc w:val="both"/>
        <w:rPr>
          <w:rFonts w:ascii="Times New Roman" w:hAnsi="Times New Roman" w:cs="Times New Roman"/>
          <w:b/>
          <w:sz w:val="24"/>
          <w:szCs w:val="24"/>
        </w:rPr>
      </w:pPr>
    </w:p>
    <w:p w:rsidR="00DE48FC" w:rsidRPr="00A3408D" w:rsidRDefault="0039381C" w:rsidP="007D57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L’assistance d’un avocat, en effet, </w:t>
      </w:r>
      <w:r w:rsidR="005416B9">
        <w:rPr>
          <w:rFonts w:ascii="Times New Roman" w:hAnsi="Times New Roman" w:cs="Times New Roman"/>
          <w:sz w:val="24"/>
          <w:szCs w:val="24"/>
        </w:rPr>
        <w:t>suppose</w:t>
      </w:r>
      <w:r>
        <w:rPr>
          <w:rFonts w:ascii="Times New Roman" w:hAnsi="Times New Roman" w:cs="Times New Roman"/>
          <w:sz w:val="24"/>
          <w:szCs w:val="24"/>
        </w:rPr>
        <w:t xml:space="preserve"> l’accès au dossier, </w:t>
      </w:r>
      <w:r w:rsidR="005416B9">
        <w:rPr>
          <w:rFonts w:ascii="Times New Roman" w:hAnsi="Times New Roman" w:cs="Times New Roman"/>
          <w:sz w:val="24"/>
          <w:szCs w:val="24"/>
        </w:rPr>
        <w:t>dont on a vu qu’il n’était pas encore total. Par ailleurs, le</w:t>
      </w:r>
      <w:r w:rsidR="00DE48FC" w:rsidRPr="00A3408D">
        <w:rPr>
          <w:rFonts w:ascii="Times New Roman" w:hAnsi="Times New Roman" w:cs="Times New Roman"/>
          <w:sz w:val="24"/>
          <w:szCs w:val="24"/>
        </w:rPr>
        <w:t xml:space="preserve"> point de départ de la présence de l’avocat,</w:t>
      </w:r>
      <w:r w:rsidR="00A3408D" w:rsidRPr="00A3408D">
        <w:rPr>
          <w:rFonts w:ascii="Times New Roman" w:hAnsi="Times New Roman" w:cs="Times New Roman"/>
          <w:sz w:val="24"/>
          <w:szCs w:val="24"/>
        </w:rPr>
        <w:t xml:space="preserve"> après </w:t>
      </w:r>
      <w:r w:rsidR="005416B9">
        <w:rPr>
          <w:rFonts w:ascii="Times New Roman" w:hAnsi="Times New Roman" w:cs="Times New Roman"/>
          <w:sz w:val="24"/>
          <w:szCs w:val="24"/>
        </w:rPr>
        <w:t>beaucoup de</w:t>
      </w:r>
      <w:r w:rsidR="00A3408D" w:rsidRPr="00A3408D">
        <w:rPr>
          <w:rFonts w:ascii="Times New Roman" w:hAnsi="Times New Roman" w:cs="Times New Roman"/>
          <w:sz w:val="24"/>
          <w:szCs w:val="24"/>
        </w:rPr>
        <w:t xml:space="preserve"> flottement, </w:t>
      </w:r>
      <w:r w:rsidR="005416B9">
        <w:rPr>
          <w:rFonts w:ascii="Times New Roman" w:hAnsi="Times New Roman" w:cs="Times New Roman"/>
          <w:sz w:val="24"/>
          <w:szCs w:val="24"/>
        </w:rPr>
        <w:t>a été fixé</w:t>
      </w:r>
      <w:r w:rsidR="00A3408D" w:rsidRPr="00A3408D">
        <w:rPr>
          <w:rFonts w:ascii="Times New Roman" w:hAnsi="Times New Roman" w:cs="Times New Roman"/>
          <w:sz w:val="24"/>
          <w:szCs w:val="24"/>
        </w:rPr>
        <w:t xml:space="preserve"> dès la première heure de </w:t>
      </w:r>
      <w:r w:rsidR="005416B9">
        <w:rPr>
          <w:rFonts w:ascii="Times New Roman" w:hAnsi="Times New Roman" w:cs="Times New Roman"/>
          <w:sz w:val="24"/>
          <w:szCs w:val="24"/>
        </w:rPr>
        <w:t xml:space="preserve">la </w:t>
      </w:r>
      <w:r w:rsidR="00A3408D" w:rsidRPr="00A3408D">
        <w:rPr>
          <w:rFonts w:ascii="Times New Roman" w:hAnsi="Times New Roman" w:cs="Times New Roman"/>
          <w:sz w:val="24"/>
          <w:szCs w:val="24"/>
        </w:rPr>
        <w:t>garde à vue</w:t>
      </w:r>
      <w:r w:rsidR="00A3408D" w:rsidRPr="00A3408D">
        <w:rPr>
          <w:rStyle w:val="Appelnotedebasdep"/>
          <w:rFonts w:ascii="Times New Roman" w:hAnsi="Times New Roman" w:cs="Times New Roman"/>
          <w:sz w:val="24"/>
          <w:szCs w:val="24"/>
        </w:rPr>
        <w:footnoteReference w:id="23"/>
      </w:r>
      <w:r w:rsidR="005416B9">
        <w:rPr>
          <w:rFonts w:ascii="Times New Roman" w:hAnsi="Times New Roman" w:cs="Times New Roman"/>
          <w:sz w:val="24"/>
          <w:szCs w:val="24"/>
        </w:rPr>
        <w:t> ;</w:t>
      </w:r>
      <w:r w:rsidR="00A3408D" w:rsidRPr="00A3408D">
        <w:rPr>
          <w:rFonts w:ascii="Times New Roman" w:hAnsi="Times New Roman" w:cs="Times New Roman"/>
          <w:sz w:val="24"/>
          <w:szCs w:val="24"/>
        </w:rPr>
        <w:t xml:space="preserve"> </w:t>
      </w:r>
      <w:r w:rsidR="005416B9">
        <w:rPr>
          <w:rFonts w:ascii="Times New Roman" w:hAnsi="Times New Roman" w:cs="Times New Roman"/>
          <w:sz w:val="24"/>
          <w:szCs w:val="24"/>
        </w:rPr>
        <w:t>et</w:t>
      </w:r>
      <w:r w:rsidR="00DE48FC" w:rsidRPr="00A3408D">
        <w:rPr>
          <w:rFonts w:ascii="Times New Roman" w:hAnsi="Times New Roman" w:cs="Times New Roman"/>
          <w:sz w:val="24"/>
          <w:szCs w:val="24"/>
        </w:rPr>
        <w:t xml:space="preserve"> l’</w:t>
      </w:r>
      <w:r w:rsidR="005416B9">
        <w:rPr>
          <w:rFonts w:ascii="Times New Roman" w:hAnsi="Times New Roman" w:cs="Times New Roman"/>
          <w:sz w:val="24"/>
          <w:szCs w:val="24"/>
        </w:rPr>
        <w:t xml:space="preserve">avocat y est désormais </w:t>
      </w:r>
      <w:r w:rsidR="005416B9" w:rsidRPr="00A3408D">
        <w:rPr>
          <w:rFonts w:ascii="Times New Roman" w:hAnsi="Times New Roman" w:cs="Times New Roman"/>
          <w:sz w:val="24"/>
          <w:szCs w:val="24"/>
        </w:rPr>
        <w:t>assidu</w:t>
      </w:r>
      <w:r w:rsidR="005416B9">
        <w:rPr>
          <w:rFonts w:ascii="Times New Roman" w:hAnsi="Times New Roman" w:cs="Times New Roman"/>
          <w:sz w:val="24"/>
          <w:szCs w:val="24"/>
        </w:rPr>
        <w:t>, notamment</w:t>
      </w:r>
      <w:r w:rsidR="00A3408D" w:rsidRPr="00A3408D">
        <w:rPr>
          <w:rFonts w:ascii="Times New Roman" w:hAnsi="Times New Roman" w:cs="Times New Roman"/>
          <w:sz w:val="24"/>
          <w:szCs w:val="24"/>
        </w:rPr>
        <w:t xml:space="preserve"> durant les interr</w:t>
      </w:r>
      <w:r w:rsidR="00A3408D">
        <w:rPr>
          <w:rFonts w:ascii="Times New Roman" w:hAnsi="Times New Roman" w:cs="Times New Roman"/>
          <w:sz w:val="24"/>
          <w:szCs w:val="24"/>
        </w:rPr>
        <w:t>o</w:t>
      </w:r>
      <w:r w:rsidR="00A3408D" w:rsidRPr="00A3408D">
        <w:rPr>
          <w:rFonts w:ascii="Times New Roman" w:hAnsi="Times New Roman" w:cs="Times New Roman"/>
          <w:sz w:val="24"/>
          <w:szCs w:val="24"/>
        </w:rPr>
        <w:t>gatoires</w:t>
      </w:r>
      <w:r w:rsidR="00A3408D" w:rsidRPr="00A3408D">
        <w:rPr>
          <w:rStyle w:val="Appelnotedebasdep"/>
          <w:rFonts w:ascii="Times New Roman" w:hAnsi="Times New Roman" w:cs="Times New Roman"/>
          <w:sz w:val="24"/>
          <w:szCs w:val="24"/>
        </w:rPr>
        <w:footnoteReference w:id="24"/>
      </w:r>
      <w:r w:rsidR="00A3408D" w:rsidRPr="00A3408D">
        <w:rPr>
          <w:rFonts w:ascii="Times New Roman" w:hAnsi="Times New Roman" w:cs="Times New Roman"/>
          <w:sz w:val="24"/>
          <w:szCs w:val="24"/>
        </w:rPr>
        <w:t>.</w:t>
      </w:r>
      <w:r w:rsidR="005416B9">
        <w:rPr>
          <w:rFonts w:ascii="Times New Roman" w:hAnsi="Times New Roman" w:cs="Times New Roman"/>
          <w:sz w:val="24"/>
          <w:szCs w:val="24"/>
        </w:rPr>
        <w:t xml:space="preserve"> L’aide juridictionnelle, possible tant pour le mis en cause que pour la victime, participe également à </w:t>
      </w:r>
      <w:r w:rsidR="00BD2A7A">
        <w:rPr>
          <w:rFonts w:ascii="Times New Roman" w:hAnsi="Times New Roman" w:cs="Times New Roman"/>
          <w:sz w:val="24"/>
          <w:szCs w:val="24"/>
        </w:rPr>
        <w:t>l’effectivité de ce droit</w:t>
      </w:r>
      <w:r w:rsidR="00BD2A7A">
        <w:rPr>
          <w:rStyle w:val="Appelnotedebasdep"/>
          <w:rFonts w:ascii="Times New Roman" w:hAnsi="Times New Roman" w:cs="Times New Roman"/>
          <w:sz w:val="24"/>
          <w:szCs w:val="24"/>
        </w:rPr>
        <w:footnoteReference w:id="25"/>
      </w:r>
      <w:r w:rsidR="00BD2A7A">
        <w:rPr>
          <w:rFonts w:ascii="Times New Roman" w:hAnsi="Times New Roman" w:cs="Times New Roman"/>
          <w:sz w:val="24"/>
          <w:szCs w:val="24"/>
        </w:rPr>
        <w:t>.</w:t>
      </w:r>
    </w:p>
    <w:p w:rsidR="00DE48FC" w:rsidRDefault="00DE48FC" w:rsidP="007D57E5">
      <w:pPr>
        <w:spacing w:after="0" w:line="360" w:lineRule="auto"/>
        <w:jc w:val="both"/>
        <w:rPr>
          <w:rFonts w:ascii="Times New Roman" w:hAnsi="Times New Roman" w:cs="Times New Roman"/>
          <w:b/>
          <w:sz w:val="24"/>
          <w:szCs w:val="24"/>
        </w:rPr>
      </w:pPr>
    </w:p>
    <w:p w:rsidR="00A3408D" w:rsidRPr="00697EAD" w:rsidRDefault="00BD2A7A" w:rsidP="007D57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Enfin, l</w:t>
      </w:r>
      <w:r w:rsidR="00697EAD" w:rsidRPr="00697EAD">
        <w:rPr>
          <w:rFonts w:ascii="Times New Roman" w:hAnsi="Times New Roman" w:cs="Times New Roman"/>
          <w:sz w:val="24"/>
          <w:szCs w:val="24"/>
        </w:rPr>
        <w:t xml:space="preserve">’information et l’avocat permettent surtout au mis en cause </w:t>
      </w:r>
      <w:r w:rsidR="00697EAD">
        <w:rPr>
          <w:rFonts w:ascii="Times New Roman" w:hAnsi="Times New Roman" w:cs="Times New Roman"/>
          <w:sz w:val="24"/>
          <w:szCs w:val="24"/>
        </w:rPr>
        <w:t xml:space="preserve">et à la victime de ne pas rester passifs durant la procédure. Ainsi </w:t>
      </w:r>
      <w:r w:rsidR="00276266">
        <w:rPr>
          <w:rFonts w:ascii="Times New Roman" w:hAnsi="Times New Roman" w:cs="Times New Roman"/>
          <w:sz w:val="24"/>
          <w:szCs w:val="24"/>
        </w:rPr>
        <w:t>peuvent-ils</w:t>
      </w:r>
      <w:r w:rsidR="00A8631B">
        <w:rPr>
          <w:rFonts w:ascii="Times New Roman" w:hAnsi="Times New Roman" w:cs="Times New Roman"/>
          <w:sz w:val="24"/>
          <w:szCs w:val="24"/>
        </w:rPr>
        <w:t xml:space="preserve"> solliciter des actes de procédure,</w:t>
      </w:r>
      <w:r w:rsidR="00276266">
        <w:rPr>
          <w:rFonts w:ascii="Times New Roman" w:hAnsi="Times New Roman" w:cs="Times New Roman"/>
          <w:sz w:val="24"/>
          <w:szCs w:val="24"/>
        </w:rPr>
        <w:t xml:space="preserve"> </w:t>
      </w:r>
      <w:r w:rsidR="00A8631B">
        <w:rPr>
          <w:rFonts w:ascii="Times New Roman" w:hAnsi="Times New Roman" w:cs="Times New Roman"/>
          <w:sz w:val="24"/>
          <w:szCs w:val="24"/>
        </w:rPr>
        <w:t>effectuer</w:t>
      </w:r>
      <w:r w:rsidR="00276266">
        <w:rPr>
          <w:rFonts w:ascii="Times New Roman" w:hAnsi="Times New Roman" w:cs="Times New Roman"/>
          <w:sz w:val="24"/>
          <w:szCs w:val="24"/>
        </w:rPr>
        <w:t xml:space="preserve"> des recours </w:t>
      </w:r>
      <w:r w:rsidR="00A8631B">
        <w:rPr>
          <w:rFonts w:ascii="Times New Roman" w:hAnsi="Times New Roman" w:cs="Times New Roman"/>
          <w:sz w:val="24"/>
          <w:szCs w:val="24"/>
        </w:rPr>
        <w:t xml:space="preserve">à leur encontre </w:t>
      </w:r>
      <w:r w:rsidR="00276266">
        <w:rPr>
          <w:rFonts w:ascii="Times New Roman" w:hAnsi="Times New Roman" w:cs="Times New Roman"/>
          <w:sz w:val="24"/>
          <w:szCs w:val="24"/>
        </w:rPr>
        <w:t xml:space="preserve">et </w:t>
      </w:r>
      <w:r w:rsidR="00A8631B">
        <w:rPr>
          <w:rFonts w:ascii="Times New Roman" w:hAnsi="Times New Roman" w:cs="Times New Roman"/>
          <w:sz w:val="24"/>
          <w:szCs w:val="24"/>
        </w:rPr>
        <w:t>produire</w:t>
      </w:r>
      <w:r w:rsidR="00276266">
        <w:rPr>
          <w:rFonts w:ascii="Times New Roman" w:hAnsi="Times New Roman" w:cs="Times New Roman"/>
          <w:sz w:val="24"/>
          <w:szCs w:val="24"/>
        </w:rPr>
        <w:t xml:space="preserve"> des </w:t>
      </w:r>
      <w:r w:rsidR="00A8631B">
        <w:rPr>
          <w:rFonts w:ascii="Times New Roman" w:hAnsi="Times New Roman" w:cs="Times New Roman"/>
          <w:sz w:val="24"/>
          <w:szCs w:val="24"/>
        </w:rPr>
        <w:t>éléments de nature probatoire</w:t>
      </w:r>
      <w:r w:rsidR="00276266">
        <w:rPr>
          <w:rFonts w:ascii="Times New Roman" w:hAnsi="Times New Roman" w:cs="Times New Roman"/>
          <w:sz w:val="24"/>
          <w:szCs w:val="24"/>
        </w:rPr>
        <w:t>.</w:t>
      </w:r>
    </w:p>
    <w:p w:rsidR="002F4F73" w:rsidRPr="00A8631B" w:rsidRDefault="002F4F73" w:rsidP="007D57E5">
      <w:pPr>
        <w:spacing w:after="0" w:line="360" w:lineRule="auto"/>
        <w:jc w:val="both"/>
        <w:rPr>
          <w:rFonts w:ascii="Times New Roman" w:hAnsi="Times New Roman" w:cs="Times New Roman"/>
          <w:sz w:val="24"/>
          <w:szCs w:val="24"/>
        </w:rPr>
      </w:pPr>
    </w:p>
    <w:p w:rsidR="00A8631B" w:rsidRPr="00A8631B" w:rsidRDefault="00A8631B" w:rsidP="007D57E5">
      <w:pPr>
        <w:spacing w:after="0" w:line="360" w:lineRule="auto"/>
        <w:jc w:val="both"/>
        <w:rPr>
          <w:rFonts w:ascii="Times New Roman" w:hAnsi="Times New Roman" w:cs="Times New Roman"/>
          <w:sz w:val="24"/>
          <w:szCs w:val="24"/>
        </w:rPr>
      </w:pPr>
      <w:r w:rsidRPr="00A8631B">
        <w:rPr>
          <w:rFonts w:ascii="Times New Roman" w:hAnsi="Times New Roman" w:cs="Times New Roman"/>
          <w:sz w:val="24"/>
          <w:szCs w:val="24"/>
        </w:rPr>
        <w:t>Durant l’enquête</w:t>
      </w:r>
      <w:r>
        <w:rPr>
          <w:rFonts w:ascii="Times New Roman" w:hAnsi="Times New Roman" w:cs="Times New Roman"/>
          <w:sz w:val="24"/>
          <w:szCs w:val="24"/>
        </w:rPr>
        <w:t xml:space="preserve">, </w:t>
      </w:r>
      <w:r w:rsidR="00CB1B99">
        <w:rPr>
          <w:rFonts w:ascii="Times New Roman" w:hAnsi="Times New Roman" w:cs="Times New Roman"/>
          <w:sz w:val="24"/>
          <w:szCs w:val="24"/>
        </w:rPr>
        <w:t xml:space="preserve">sauf exception, </w:t>
      </w:r>
      <w:r>
        <w:rPr>
          <w:rFonts w:ascii="Times New Roman" w:hAnsi="Times New Roman" w:cs="Times New Roman"/>
          <w:sz w:val="24"/>
          <w:szCs w:val="24"/>
        </w:rPr>
        <w:t>il n’y a pas encore de juge. Il n’existe donc</w:t>
      </w:r>
      <w:r w:rsidR="00CB1B99">
        <w:rPr>
          <w:rFonts w:ascii="Times New Roman" w:hAnsi="Times New Roman" w:cs="Times New Roman"/>
          <w:sz w:val="24"/>
          <w:szCs w:val="24"/>
        </w:rPr>
        <w:t xml:space="preserve"> pas, en principe,</w:t>
      </w:r>
      <w:r>
        <w:rPr>
          <w:rFonts w:ascii="Times New Roman" w:hAnsi="Times New Roman" w:cs="Times New Roman"/>
          <w:sz w:val="24"/>
          <w:szCs w:val="24"/>
        </w:rPr>
        <w:t xml:space="preserve"> </w:t>
      </w:r>
      <w:r w:rsidR="00CB1B99">
        <w:rPr>
          <w:rFonts w:ascii="Times New Roman" w:hAnsi="Times New Roman" w:cs="Times New Roman"/>
          <w:sz w:val="24"/>
          <w:szCs w:val="24"/>
        </w:rPr>
        <w:t>d’autorité</w:t>
      </w:r>
      <w:r>
        <w:rPr>
          <w:rFonts w:ascii="Times New Roman" w:hAnsi="Times New Roman" w:cs="Times New Roman"/>
          <w:sz w:val="24"/>
          <w:szCs w:val="24"/>
        </w:rPr>
        <w:t xml:space="preserve"> à qui solliciter un acte </w:t>
      </w:r>
      <w:r w:rsidR="00CB1B99">
        <w:rPr>
          <w:rFonts w:ascii="Times New Roman" w:hAnsi="Times New Roman" w:cs="Times New Roman"/>
          <w:sz w:val="24"/>
          <w:szCs w:val="24"/>
        </w:rPr>
        <w:t xml:space="preserve">ou </w:t>
      </w:r>
      <w:r w:rsidR="00B11E4B">
        <w:rPr>
          <w:rFonts w:ascii="Times New Roman" w:hAnsi="Times New Roman" w:cs="Times New Roman"/>
          <w:sz w:val="24"/>
          <w:szCs w:val="24"/>
        </w:rPr>
        <w:t>qui puisse</w:t>
      </w:r>
      <w:r w:rsidR="00170D17">
        <w:rPr>
          <w:rFonts w:ascii="Times New Roman" w:hAnsi="Times New Roman" w:cs="Times New Roman"/>
          <w:sz w:val="24"/>
          <w:szCs w:val="24"/>
        </w:rPr>
        <w:t xml:space="preserve"> en sanctionner un. Tout au plus mis en cause et victime peuvent-ils </w:t>
      </w:r>
      <w:r w:rsidR="00BD2A7A">
        <w:rPr>
          <w:rFonts w:ascii="Times New Roman" w:hAnsi="Times New Roman" w:cs="Times New Roman"/>
          <w:sz w:val="24"/>
          <w:szCs w:val="24"/>
        </w:rPr>
        <w:t xml:space="preserve">alors </w:t>
      </w:r>
      <w:r w:rsidR="00170D17">
        <w:rPr>
          <w:rFonts w:ascii="Times New Roman" w:hAnsi="Times New Roman" w:cs="Times New Roman"/>
          <w:sz w:val="24"/>
          <w:szCs w:val="24"/>
        </w:rPr>
        <w:t>contribuer à la recherche de la vérité sans, au demeurant, être soumis au principe de loyauté des preuves, auquel seules les autorités publiques sont astreintes</w:t>
      </w:r>
      <w:r w:rsidR="00170D17">
        <w:rPr>
          <w:rStyle w:val="Appelnotedebasdep"/>
          <w:rFonts w:ascii="Times New Roman" w:hAnsi="Times New Roman" w:cs="Times New Roman"/>
          <w:sz w:val="24"/>
          <w:szCs w:val="24"/>
        </w:rPr>
        <w:footnoteReference w:id="26"/>
      </w:r>
      <w:r w:rsidR="00170D17">
        <w:rPr>
          <w:rFonts w:ascii="Times New Roman" w:hAnsi="Times New Roman" w:cs="Times New Roman"/>
          <w:sz w:val="24"/>
          <w:szCs w:val="24"/>
        </w:rPr>
        <w:t>.</w:t>
      </w:r>
    </w:p>
    <w:p w:rsidR="00276266" w:rsidRDefault="00276266" w:rsidP="007D57E5">
      <w:pPr>
        <w:spacing w:after="0" w:line="360" w:lineRule="auto"/>
        <w:jc w:val="both"/>
        <w:rPr>
          <w:rFonts w:ascii="Times New Roman" w:hAnsi="Times New Roman" w:cs="Times New Roman"/>
          <w:sz w:val="24"/>
          <w:szCs w:val="24"/>
        </w:rPr>
      </w:pPr>
    </w:p>
    <w:p w:rsidR="007E7D0D" w:rsidRPr="00777F9A" w:rsidRDefault="00170D17" w:rsidP="007E7D0D">
      <w:pPr>
        <w:spacing w:after="0" w:line="360" w:lineRule="auto"/>
        <w:jc w:val="both"/>
        <w:rPr>
          <w:rFonts w:ascii="Times New Roman" w:hAnsi="Times New Roman" w:cs="Times New Roman"/>
          <w:sz w:val="24"/>
          <w:szCs w:val="24"/>
        </w:rPr>
      </w:pPr>
      <w:r w:rsidRPr="00777F9A">
        <w:rPr>
          <w:rFonts w:ascii="Times New Roman" w:hAnsi="Times New Roman" w:cs="Times New Roman"/>
          <w:sz w:val="24"/>
          <w:szCs w:val="24"/>
        </w:rPr>
        <w:t>C’est</w:t>
      </w:r>
      <w:r w:rsidR="00777F9A">
        <w:rPr>
          <w:rFonts w:ascii="Times New Roman" w:hAnsi="Times New Roman" w:cs="Times New Roman"/>
          <w:sz w:val="24"/>
          <w:szCs w:val="24"/>
        </w:rPr>
        <w:t xml:space="preserve"> </w:t>
      </w:r>
      <w:r w:rsidRPr="00777F9A">
        <w:rPr>
          <w:rFonts w:ascii="Times New Roman" w:hAnsi="Times New Roman" w:cs="Times New Roman"/>
          <w:sz w:val="24"/>
          <w:szCs w:val="24"/>
        </w:rPr>
        <w:t xml:space="preserve">au stade de l’instruction que </w:t>
      </w:r>
      <w:r w:rsidR="00777F9A">
        <w:rPr>
          <w:rFonts w:ascii="Times New Roman" w:hAnsi="Times New Roman" w:cs="Times New Roman"/>
          <w:sz w:val="24"/>
          <w:szCs w:val="24"/>
        </w:rPr>
        <w:t>l’</w:t>
      </w:r>
      <w:r w:rsidR="007E7D0D" w:rsidRPr="00777F9A">
        <w:rPr>
          <w:rFonts w:ascii="Times New Roman" w:hAnsi="Times New Roman" w:cs="Times New Roman"/>
          <w:sz w:val="24"/>
          <w:szCs w:val="24"/>
        </w:rPr>
        <w:t xml:space="preserve">intervention </w:t>
      </w:r>
      <w:r w:rsidR="00777F9A">
        <w:rPr>
          <w:rFonts w:ascii="Times New Roman" w:hAnsi="Times New Roman" w:cs="Times New Roman"/>
          <w:sz w:val="24"/>
          <w:szCs w:val="24"/>
        </w:rPr>
        <w:t xml:space="preserve">des parties </w:t>
      </w:r>
      <w:r w:rsidR="007E7D0D" w:rsidRPr="00777F9A">
        <w:rPr>
          <w:rFonts w:ascii="Times New Roman" w:hAnsi="Times New Roman" w:cs="Times New Roman"/>
          <w:sz w:val="24"/>
          <w:szCs w:val="24"/>
        </w:rPr>
        <w:t xml:space="preserve">prend toute son intensité. </w:t>
      </w:r>
      <w:r w:rsidR="00777F9A">
        <w:rPr>
          <w:rFonts w:ascii="Times New Roman" w:hAnsi="Times New Roman" w:cs="Times New Roman"/>
          <w:sz w:val="24"/>
          <w:szCs w:val="24"/>
        </w:rPr>
        <w:t>Elles</w:t>
      </w:r>
      <w:r w:rsidR="007E7D0D" w:rsidRPr="00777F9A">
        <w:rPr>
          <w:rFonts w:ascii="Times New Roman" w:hAnsi="Times New Roman" w:cs="Times New Roman"/>
          <w:sz w:val="24"/>
          <w:szCs w:val="24"/>
        </w:rPr>
        <w:t xml:space="preserve"> peuvent alors, l’un</w:t>
      </w:r>
      <w:r w:rsidR="00777F9A">
        <w:rPr>
          <w:rFonts w:ascii="Times New Roman" w:hAnsi="Times New Roman" w:cs="Times New Roman"/>
          <w:sz w:val="24"/>
          <w:szCs w:val="24"/>
        </w:rPr>
        <w:t>e</w:t>
      </w:r>
      <w:r w:rsidR="007E7D0D" w:rsidRPr="00777F9A">
        <w:rPr>
          <w:rFonts w:ascii="Times New Roman" w:hAnsi="Times New Roman" w:cs="Times New Roman"/>
          <w:sz w:val="24"/>
          <w:szCs w:val="24"/>
        </w:rPr>
        <w:t xml:space="preserve"> comme l’autre, contester la compétence ou l’impartialité </w:t>
      </w:r>
      <w:r w:rsidR="00777F9A">
        <w:rPr>
          <w:rFonts w:ascii="Times New Roman" w:hAnsi="Times New Roman" w:cs="Times New Roman"/>
          <w:sz w:val="24"/>
          <w:szCs w:val="24"/>
        </w:rPr>
        <w:t>d’un</w:t>
      </w:r>
      <w:r w:rsidR="007E7D0D" w:rsidRPr="00777F9A">
        <w:rPr>
          <w:rFonts w:ascii="Times New Roman" w:hAnsi="Times New Roman" w:cs="Times New Roman"/>
          <w:sz w:val="24"/>
          <w:szCs w:val="24"/>
        </w:rPr>
        <w:t xml:space="preserve"> juge</w:t>
      </w:r>
      <w:r w:rsidR="00777F9A">
        <w:rPr>
          <w:rStyle w:val="Appelnotedebasdep"/>
          <w:rFonts w:ascii="Times New Roman" w:hAnsi="Times New Roman" w:cs="Times New Roman"/>
          <w:sz w:val="24"/>
          <w:szCs w:val="24"/>
        </w:rPr>
        <w:footnoteReference w:id="27"/>
      </w:r>
      <w:r w:rsidR="00777F9A">
        <w:rPr>
          <w:rFonts w:ascii="Times New Roman" w:hAnsi="Times New Roman" w:cs="Times New Roman"/>
          <w:sz w:val="24"/>
          <w:szCs w:val="24"/>
        </w:rPr>
        <w:t>,</w:t>
      </w:r>
      <w:r w:rsidR="007E7D0D" w:rsidRPr="00777F9A">
        <w:rPr>
          <w:rFonts w:ascii="Times New Roman" w:hAnsi="Times New Roman" w:cs="Times New Roman"/>
          <w:sz w:val="24"/>
          <w:szCs w:val="24"/>
        </w:rPr>
        <w:t xml:space="preserve"> faire appel de la plupart des ordonnances </w:t>
      </w:r>
      <w:r w:rsidR="00777F9A">
        <w:rPr>
          <w:rFonts w:ascii="Times New Roman" w:hAnsi="Times New Roman" w:cs="Times New Roman"/>
          <w:sz w:val="24"/>
          <w:szCs w:val="24"/>
        </w:rPr>
        <w:t>rendues par ce dernier</w:t>
      </w:r>
      <w:r w:rsidR="00777F9A">
        <w:rPr>
          <w:rStyle w:val="Appelnotedebasdep"/>
          <w:rFonts w:ascii="Times New Roman" w:hAnsi="Times New Roman" w:cs="Times New Roman"/>
          <w:sz w:val="24"/>
          <w:szCs w:val="24"/>
        </w:rPr>
        <w:footnoteReference w:id="28"/>
      </w:r>
      <w:r w:rsidR="00777F9A">
        <w:rPr>
          <w:rFonts w:ascii="Times New Roman" w:hAnsi="Times New Roman" w:cs="Times New Roman"/>
          <w:sz w:val="24"/>
          <w:szCs w:val="24"/>
        </w:rPr>
        <w:t>,</w:t>
      </w:r>
      <w:r w:rsidR="007E7D0D" w:rsidRPr="00777F9A">
        <w:rPr>
          <w:rFonts w:ascii="Times New Roman" w:hAnsi="Times New Roman" w:cs="Times New Roman"/>
          <w:sz w:val="24"/>
          <w:szCs w:val="24"/>
        </w:rPr>
        <w:t xml:space="preserve"> se prévaloir de certaines nullités</w:t>
      </w:r>
      <w:r w:rsidR="004B0824">
        <w:rPr>
          <w:rFonts w:ascii="Times New Roman" w:hAnsi="Times New Roman" w:cs="Times New Roman"/>
          <w:sz w:val="24"/>
          <w:szCs w:val="24"/>
        </w:rPr>
        <w:t xml:space="preserve"> des actes accomplis durant la procédure</w:t>
      </w:r>
      <w:r w:rsidR="00777F9A">
        <w:rPr>
          <w:rStyle w:val="Appelnotedebasdep"/>
          <w:rFonts w:ascii="Times New Roman" w:hAnsi="Times New Roman" w:cs="Times New Roman"/>
          <w:sz w:val="24"/>
          <w:szCs w:val="24"/>
        </w:rPr>
        <w:footnoteReference w:id="29"/>
      </w:r>
      <w:r w:rsidR="004B0824">
        <w:rPr>
          <w:rFonts w:ascii="Times New Roman" w:hAnsi="Times New Roman" w:cs="Times New Roman"/>
          <w:sz w:val="24"/>
          <w:szCs w:val="24"/>
        </w:rPr>
        <w:t xml:space="preserve"> et</w:t>
      </w:r>
      <w:r w:rsidR="00777F9A">
        <w:rPr>
          <w:rFonts w:ascii="Times New Roman" w:hAnsi="Times New Roman" w:cs="Times New Roman"/>
          <w:sz w:val="24"/>
          <w:szCs w:val="24"/>
        </w:rPr>
        <w:t xml:space="preserve"> </w:t>
      </w:r>
      <w:r w:rsidR="007E7D0D" w:rsidRPr="00777F9A">
        <w:rPr>
          <w:rFonts w:ascii="Times New Roman" w:hAnsi="Times New Roman" w:cs="Times New Roman"/>
          <w:sz w:val="24"/>
          <w:szCs w:val="24"/>
        </w:rPr>
        <w:t>solliciter des actes d’instruction de plus en plus nombreux, à condition qu’ils soient utiles à la manifestation de la vérité</w:t>
      </w:r>
      <w:r w:rsidR="004B0824">
        <w:rPr>
          <w:rStyle w:val="Appelnotedebasdep"/>
          <w:rFonts w:ascii="Times New Roman" w:hAnsi="Times New Roman" w:cs="Times New Roman"/>
          <w:sz w:val="24"/>
          <w:szCs w:val="24"/>
        </w:rPr>
        <w:footnoteReference w:id="30"/>
      </w:r>
      <w:r w:rsidR="004B0824">
        <w:rPr>
          <w:rFonts w:ascii="Times New Roman" w:hAnsi="Times New Roman" w:cs="Times New Roman"/>
          <w:sz w:val="24"/>
          <w:szCs w:val="24"/>
        </w:rPr>
        <w:t>.</w:t>
      </w:r>
    </w:p>
    <w:p w:rsidR="00A8631B" w:rsidRDefault="00A8631B" w:rsidP="007D57E5">
      <w:pPr>
        <w:spacing w:after="0" w:line="360" w:lineRule="auto"/>
        <w:jc w:val="both"/>
        <w:rPr>
          <w:rFonts w:ascii="Times New Roman" w:hAnsi="Times New Roman" w:cs="Times New Roman"/>
          <w:sz w:val="24"/>
          <w:szCs w:val="24"/>
        </w:rPr>
      </w:pPr>
    </w:p>
    <w:p w:rsidR="00B36695" w:rsidRDefault="00B36695" w:rsidP="007D57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À l’issue de ce stade, comme à celui de l’enquête, certains de ces droits demeurent.</w:t>
      </w:r>
    </w:p>
    <w:p w:rsidR="00B36695" w:rsidRPr="00A8631B" w:rsidRDefault="00B36695" w:rsidP="007D57E5">
      <w:pPr>
        <w:spacing w:after="0" w:line="360" w:lineRule="auto"/>
        <w:jc w:val="both"/>
        <w:rPr>
          <w:rFonts w:ascii="Times New Roman" w:hAnsi="Times New Roman" w:cs="Times New Roman"/>
          <w:sz w:val="24"/>
          <w:szCs w:val="24"/>
        </w:rPr>
      </w:pPr>
    </w:p>
    <w:p w:rsidR="00DA0578" w:rsidRPr="00A750DE" w:rsidRDefault="000F343A" w:rsidP="00A750DE">
      <w:pPr>
        <w:spacing w:after="0" w:line="360" w:lineRule="auto"/>
        <w:jc w:val="both"/>
        <w:rPr>
          <w:rFonts w:ascii="Times New Roman" w:hAnsi="Times New Roman" w:cs="Times New Roman"/>
          <w:b/>
          <w:sz w:val="24"/>
          <w:szCs w:val="24"/>
        </w:rPr>
      </w:pPr>
      <w:r w:rsidRPr="000B0EEB">
        <w:rPr>
          <w:rFonts w:ascii="Times New Roman" w:hAnsi="Times New Roman" w:cs="Times New Roman"/>
          <w:b/>
          <w:sz w:val="24"/>
          <w:szCs w:val="24"/>
        </w:rPr>
        <w:t xml:space="preserve">II. </w:t>
      </w:r>
      <w:r w:rsidR="00DA0578">
        <w:rPr>
          <w:rFonts w:ascii="Times New Roman" w:hAnsi="Times New Roman" w:cs="Times New Roman"/>
          <w:b/>
          <w:sz w:val="24"/>
          <w:szCs w:val="24"/>
        </w:rPr>
        <w:t xml:space="preserve">Les droits de parties </w:t>
      </w:r>
      <w:r w:rsidR="00A76000">
        <w:rPr>
          <w:rFonts w:ascii="Times New Roman" w:hAnsi="Times New Roman" w:cs="Times New Roman"/>
          <w:b/>
          <w:sz w:val="24"/>
          <w:szCs w:val="24"/>
        </w:rPr>
        <w:t xml:space="preserve">privées </w:t>
      </w:r>
      <w:r w:rsidR="00DA0578">
        <w:rPr>
          <w:rFonts w:ascii="Times New Roman" w:hAnsi="Times New Roman" w:cs="Times New Roman"/>
          <w:b/>
          <w:sz w:val="24"/>
          <w:szCs w:val="24"/>
        </w:rPr>
        <w:t>à</w:t>
      </w:r>
      <w:r w:rsidRPr="000B0EEB">
        <w:rPr>
          <w:rFonts w:ascii="Times New Roman" w:hAnsi="Times New Roman" w:cs="Times New Roman"/>
          <w:b/>
          <w:sz w:val="24"/>
          <w:szCs w:val="24"/>
        </w:rPr>
        <w:t xml:space="preserve"> l’issue</w:t>
      </w:r>
      <w:r w:rsidR="00DA0578">
        <w:rPr>
          <w:rFonts w:ascii="Times New Roman" w:hAnsi="Times New Roman" w:cs="Times New Roman"/>
          <w:b/>
          <w:sz w:val="24"/>
          <w:szCs w:val="24"/>
        </w:rPr>
        <w:t xml:space="preserve"> de l’enquête et de l’instruction</w:t>
      </w:r>
    </w:p>
    <w:p w:rsidR="008A3E1E" w:rsidRPr="008A3E1E" w:rsidRDefault="008A3E1E" w:rsidP="008A3E1E">
      <w:pPr>
        <w:tabs>
          <w:tab w:val="left" w:pos="2520"/>
        </w:tabs>
        <w:spacing w:after="0" w:line="360" w:lineRule="auto"/>
        <w:jc w:val="both"/>
        <w:rPr>
          <w:rFonts w:ascii="Times New Roman" w:hAnsi="Times New Roman" w:cs="Times New Roman"/>
          <w:sz w:val="24"/>
          <w:szCs w:val="24"/>
        </w:rPr>
      </w:pPr>
    </w:p>
    <w:p w:rsidR="008A3E1E" w:rsidRPr="008A3E1E" w:rsidRDefault="008A3E1E" w:rsidP="008A3E1E">
      <w:pPr>
        <w:tabs>
          <w:tab w:val="left" w:pos="2520"/>
        </w:tabs>
        <w:spacing w:after="0" w:line="360" w:lineRule="auto"/>
        <w:jc w:val="both"/>
        <w:rPr>
          <w:rFonts w:ascii="Times New Roman" w:hAnsi="Times New Roman" w:cs="Times New Roman"/>
          <w:sz w:val="24"/>
          <w:szCs w:val="24"/>
        </w:rPr>
      </w:pPr>
      <w:r w:rsidRPr="008A3E1E">
        <w:rPr>
          <w:rFonts w:ascii="Times New Roman" w:hAnsi="Times New Roman" w:cs="Times New Roman"/>
          <w:sz w:val="24"/>
          <w:szCs w:val="24"/>
        </w:rPr>
        <w:t>La comparaison des droits des parties lors de l’issue des phases d’enquête et d’instruction peut être réalisée à deux égards : concernant la période précédant immédiatement la décision d’issue, d’une part, et s’agissant de celle des éventuels recours à son encontre</w:t>
      </w:r>
      <w:r w:rsidR="008B5F6D">
        <w:rPr>
          <w:rFonts w:ascii="Times New Roman" w:hAnsi="Times New Roman" w:cs="Times New Roman"/>
          <w:sz w:val="24"/>
          <w:szCs w:val="24"/>
        </w:rPr>
        <w:t>, d’autre part</w:t>
      </w:r>
      <w:r w:rsidRPr="008A3E1E">
        <w:rPr>
          <w:rFonts w:ascii="Times New Roman" w:hAnsi="Times New Roman" w:cs="Times New Roman"/>
          <w:sz w:val="24"/>
          <w:szCs w:val="24"/>
        </w:rPr>
        <w:t>. À ces deux points de vue, on ne pourra que mesurer la perte qu’impliquerait, pour les parties, le remplacement définitif de l’instruction par l’enquête en matière correctionnelle.</w:t>
      </w:r>
    </w:p>
    <w:p w:rsidR="008A3E1E" w:rsidRPr="008A3E1E" w:rsidRDefault="008A3E1E" w:rsidP="008A3E1E">
      <w:pPr>
        <w:tabs>
          <w:tab w:val="left" w:pos="2520"/>
        </w:tabs>
        <w:spacing w:after="0" w:line="360" w:lineRule="auto"/>
        <w:jc w:val="both"/>
        <w:rPr>
          <w:rFonts w:ascii="Times New Roman" w:hAnsi="Times New Roman" w:cs="Times New Roman"/>
          <w:sz w:val="24"/>
          <w:szCs w:val="24"/>
        </w:rPr>
      </w:pPr>
    </w:p>
    <w:p w:rsidR="008A3E1E" w:rsidRPr="008A3E1E" w:rsidRDefault="008A3E1E" w:rsidP="008A3E1E">
      <w:pPr>
        <w:tabs>
          <w:tab w:val="left" w:pos="2520"/>
        </w:tabs>
        <w:spacing w:after="0" w:line="360" w:lineRule="auto"/>
        <w:jc w:val="both"/>
        <w:rPr>
          <w:rFonts w:ascii="Times New Roman" w:hAnsi="Times New Roman" w:cs="Times New Roman"/>
          <w:sz w:val="24"/>
          <w:szCs w:val="24"/>
        </w:rPr>
      </w:pPr>
      <w:r w:rsidRPr="008A3E1E">
        <w:rPr>
          <w:rFonts w:ascii="Times New Roman" w:hAnsi="Times New Roman" w:cs="Times New Roman"/>
          <w:sz w:val="24"/>
          <w:szCs w:val="24"/>
        </w:rPr>
        <w:t>En premier lieu, si des réformes récentes ont tenté de conférer un caractère contradictoire à la fin d’enquête, le législateur n’a néanmoins nullement souhaité aligner les droits des parties à ce stade sur ceux qui leur sont reconnus à l’issue de l’instruction.</w:t>
      </w:r>
    </w:p>
    <w:p w:rsidR="008A3E1E" w:rsidRPr="008A3E1E" w:rsidRDefault="008A3E1E" w:rsidP="008A3E1E">
      <w:pPr>
        <w:tabs>
          <w:tab w:val="left" w:pos="2520"/>
        </w:tabs>
        <w:spacing w:after="0" w:line="360" w:lineRule="auto"/>
        <w:jc w:val="both"/>
        <w:rPr>
          <w:rFonts w:ascii="Times New Roman" w:hAnsi="Times New Roman" w:cs="Times New Roman"/>
          <w:sz w:val="24"/>
          <w:szCs w:val="24"/>
        </w:rPr>
      </w:pPr>
    </w:p>
    <w:p w:rsidR="008A3E1E" w:rsidRPr="008A3E1E" w:rsidRDefault="008A3E1E" w:rsidP="008A3E1E">
      <w:pPr>
        <w:tabs>
          <w:tab w:val="left" w:pos="2520"/>
        </w:tabs>
        <w:spacing w:after="0" w:line="360" w:lineRule="auto"/>
        <w:jc w:val="both"/>
        <w:rPr>
          <w:rFonts w:ascii="Times New Roman" w:hAnsi="Times New Roman" w:cs="Times New Roman"/>
          <w:sz w:val="24"/>
          <w:szCs w:val="24"/>
        </w:rPr>
      </w:pPr>
      <w:r w:rsidRPr="008A3E1E">
        <w:rPr>
          <w:rFonts w:ascii="Times New Roman" w:hAnsi="Times New Roman" w:cs="Times New Roman"/>
          <w:sz w:val="24"/>
          <w:szCs w:val="24"/>
        </w:rPr>
        <w:lastRenderedPageBreak/>
        <w:t>Concernant les avancées en matière d’enquête, la loi du 27 mai 2014</w:t>
      </w:r>
      <w:r w:rsidRPr="008A3E1E">
        <w:rPr>
          <w:rFonts w:ascii="Times New Roman" w:hAnsi="Times New Roman" w:cs="Times New Roman"/>
          <w:sz w:val="24"/>
          <w:szCs w:val="24"/>
          <w:vertAlign w:val="superscript"/>
        </w:rPr>
        <w:footnoteReference w:id="31"/>
      </w:r>
      <w:r w:rsidRPr="008A3E1E">
        <w:rPr>
          <w:rFonts w:ascii="Times New Roman" w:hAnsi="Times New Roman" w:cs="Times New Roman"/>
          <w:sz w:val="24"/>
          <w:szCs w:val="24"/>
        </w:rPr>
        <w:t xml:space="preserve"> a effectivement, en organisant l’accès au dossier de la procédure lors du déferrement, permis aux personnes déférées, directement et/ou par l’intermédiaire de leur avocat, de présenter au procureur de la République des </w:t>
      </w:r>
      <w:r w:rsidRPr="00B36695">
        <w:rPr>
          <w:rFonts w:ascii="Times New Roman" w:hAnsi="Times New Roman" w:cs="Times New Roman"/>
          <w:sz w:val="24"/>
          <w:szCs w:val="24"/>
        </w:rPr>
        <w:t>observations « portant notamment sur la régularité de la procédure, sur la qualification retenue, sur le caractère éventuellement insuffisant de l'enquête, sur la nécessité de procéder à de nouveaux actes qu'il estime nécessaires à la manifestation de la vérité et sur les modalités d'engagement éventuel des poursuites ou le recours éventuel à la procédure de comparution sur reconnaissance préalable de culpabilité »</w:t>
      </w:r>
      <w:r w:rsidRPr="008A3E1E">
        <w:rPr>
          <w:rFonts w:ascii="Times New Roman" w:hAnsi="Times New Roman" w:cs="Times New Roman"/>
          <w:sz w:val="24"/>
          <w:szCs w:val="24"/>
          <w:vertAlign w:val="superscript"/>
        </w:rPr>
        <w:footnoteReference w:id="32"/>
      </w:r>
      <w:r w:rsidRPr="008A3E1E">
        <w:rPr>
          <w:rFonts w:ascii="Times New Roman" w:hAnsi="Times New Roman" w:cs="Times New Roman"/>
          <w:sz w:val="24"/>
          <w:szCs w:val="24"/>
        </w:rPr>
        <w:t>. Cette possibilité a ainsi pour objectif de ménager une sorte de débat contradictoire avant que le procureur ne prenne sa décision quant au principe et aux modalités du déclenchement de l’action publique. Dans une même perspective, la loi précitée du 3 juin 2016 a inséré un article 77-2 au code de procédure pénale offrant, dans le cadre d’une enquête préliminaire, la possibilité à la personne mise en cause, la victime ou leurs avocats de demander d’accéder au dossier de la procédure et de formuler, auprès du procureur de la République et dans un délai d’un mois, des observations ou des demandes d’actes utiles à la manifestation de la vérité. Cette « lucarne » vers davantage de contradictoire</w:t>
      </w:r>
      <w:r w:rsidRPr="008A3E1E">
        <w:rPr>
          <w:rFonts w:ascii="Times New Roman" w:hAnsi="Times New Roman" w:cs="Times New Roman"/>
          <w:sz w:val="24"/>
          <w:szCs w:val="24"/>
          <w:vertAlign w:val="superscript"/>
        </w:rPr>
        <w:footnoteReference w:id="33"/>
      </w:r>
      <w:r w:rsidRPr="008A3E1E">
        <w:rPr>
          <w:rFonts w:ascii="Times New Roman" w:hAnsi="Times New Roman" w:cs="Times New Roman"/>
          <w:sz w:val="24"/>
          <w:szCs w:val="24"/>
        </w:rPr>
        <w:t>, bien que soumise à de multiples conditions</w:t>
      </w:r>
      <w:r w:rsidRPr="008A3E1E">
        <w:rPr>
          <w:rFonts w:ascii="Times New Roman" w:hAnsi="Times New Roman" w:cs="Times New Roman"/>
          <w:sz w:val="24"/>
          <w:szCs w:val="24"/>
          <w:vertAlign w:val="superscript"/>
        </w:rPr>
        <w:footnoteReference w:id="34"/>
      </w:r>
      <w:r w:rsidRPr="008A3E1E">
        <w:rPr>
          <w:rFonts w:ascii="Times New Roman" w:hAnsi="Times New Roman" w:cs="Times New Roman"/>
          <w:sz w:val="24"/>
          <w:szCs w:val="24"/>
        </w:rPr>
        <w:t>, exprime une nouvelle fois la volonté législative de doter les parties de droits à la fin d’une enquête préliminaire vouée, en matière délictuelle, à remplacer l’instruction.</w:t>
      </w:r>
    </w:p>
    <w:p w:rsidR="00B36695" w:rsidRDefault="00B36695" w:rsidP="008A3E1E">
      <w:pPr>
        <w:tabs>
          <w:tab w:val="left" w:pos="2520"/>
        </w:tabs>
        <w:spacing w:after="0" w:line="360" w:lineRule="auto"/>
        <w:jc w:val="both"/>
        <w:rPr>
          <w:rFonts w:ascii="Times New Roman" w:hAnsi="Times New Roman" w:cs="Times New Roman"/>
          <w:sz w:val="24"/>
          <w:szCs w:val="24"/>
        </w:rPr>
      </w:pPr>
    </w:p>
    <w:p w:rsidR="008A3E1E" w:rsidRPr="008A3E1E" w:rsidRDefault="008A3E1E" w:rsidP="008A3E1E">
      <w:pPr>
        <w:tabs>
          <w:tab w:val="left" w:pos="2520"/>
        </w:tabs>
        <w:spacing w:after="0" w:line="360" w:lineRule="auto"/>
        <w:jc w:val="both"/>
        <w:rPr>
          <w:rFonts w:ascii="Times New Roman" w:hAnsi="Times New Roman" w:cs="Times New Roman"/>
          <w:sz w:val="24"/>
          <w:szCs w:val="24"/>
        </w:rPr>
      </w:pPr>
      <w:r w:rsidRPr="008A3E1E">
        <w:rPr>
          <w:rFonts w:ascii="Times New Roman" w:hAnsi="Times New Roman" w:cs="Times New Roman"/>
          <w:sz w:val="24"/>
          <w:szCs w:val="24"/>
        </w:rPr>
        <w:t>Cela étant, ces mécanismes paraissent bien faibles en comparaison de ce qui est prévu en matière de fin d’information. Rappelons, à cet égard, que l’article 175 du code de procédure pénale, tel  qu’issu de la loi du 5 mars 2007 prévoit en fin d’information</w:t>
      </w:r>
      <w:r w:rsidRPr="008A3E1E">
        <w:rPr>
          <w:rFonts w:ascii="Times New Roman" w:hAnsi="Times New Roman" w:cs="Times New Roman"/>
          <w:sz w:val="24"/>
          <w:szCs w:val="24"/>
          <w:vertAlign w:val="superscript"/>
        </w:rPr>
        <w:footnoteReference w:id="35"/>
      </w:r>
      <w:r w:rsidRPr="008A3E1E">
        <w:rPr>
          <w:rFonts w:ascii="Times New Roman" w:hAnsi="Times New Roman" w:cs="Times New Roman"/>
          <w:sz w:val="24"/>
          <w:szCs w:val="24"/>
        </w:rPr>
        <w:t xml:space="preserve"> l’ouverture d’un premier délai d’un ou trois mois</w:t>
      </w:r>
      <w:r w:rsidRPr="008A3E1E">
        <w:rPr>
          <w:rFonts w:ascii="Times New Roman" w:hAnsi="Times New Roman" w:cs="Times New Roman"/>
          <w:sz w:val="24"/>
          <w:szCs w:val="24"/>
          <w:vertAlign w:val="superscript"/>
        </w:rPr>
        <w:footnoteReference w:id="36"/>
      </w:r>
      <w:r w:rsidRPr="008A3E1E">
        <w:rPr>
          <w:rFonts w:ascii="Times New Roman" w:hAnsi="Times New Roman" w:cs="Times New Roman"/>
          <w:sz w:val="24"/>
          <w:szCs w:val="24"/>
        </w:rPr>
        <w:t xml:space="preserve"> durant lequel les parties vont pouvoir mener un débat contradictoire comme formuler d’éventuelles demandes d’actes et requêtes en nullité puis </w:t>
      </w:r>
      <w:r w:rsidRPr="008A3E1E">
        <w:rPr>
          <w:rFonts w:ascii="Times New Roman" w:hAnsi="Times New Roman" w:cs="Times New Roman"/>
          <w:sz w:val="24"/>
          <w:szCs w:val="24"/>
        </w:rPr>
        <w:lastRenderedPageBreak/>
        <w:t>d’un second, de dix jours ou d’un mois</w:t>
      </w:r>
      <w:r w:rsidRPr="008A3E1E">
        <w:rPr>
          <w:rFonts w:ascii="Times New Roman" w:hAnsi="Times New Roman" w:cs="Times New Roman"/>
          <w:sz w:val="24"/>
          <w:szCs w:val="24"/>
          <w:vertAlign w:val="superscript"/>
        </w:rPr>
        <w:footnoteReference w:id="37"/>
      </w:r>
      <w:r w:rsidRPr="008A3E1E">
        <w:rPr>
          <w:rFonts w:ascii="Times New Roman" w:hAnsi="Times New Roman" w:cs="Times New Roman"/>
          <w:sz w:val="24"/>
          <w:szCs w:val="24"/>
        </w:rPr>
        <w:t xml:space="preserve">, où les parties vont pouvoir adresser au juge d’instruction des observations complémentaires en considération de celles des autres parties ou des réquisitions du procureur de la République. Ainsi cette phase précédant l’ordonnance de règlement offre-t-elle aux parties des possibilités tant de discuter et de compléter l’instruction conduite par le juge que de débattre, entre elles, des conséquences devant être tirées de cette phase qui s’achève. </w:t>
      </w:r>
    </w:p>
    <w:p w:rsidR="00B36695" w:rsidRDefault="00B36695" w:rsidP="008A3E1E">
      <w:pPr>
        <w:tabs>
          <w:tab w:val="left" w:pos="2520"/>
        </w:tabs>
        <w:spacing w:after="0" w:line="360" w:lineRule="auto"/>
        <w:jc w:val="both"/>
        <w:rPr>
          <w:rFonts w:ascii="Times New Roman" w:hAnsi="Times New Roman" w:cs="Times New Roman"/>
          <w:sz w:val="24"/>
          <w:szCs w:val="24"/>
        </w:rPr>
      </w:pPr>
    </w:p>
    <w:p w:rsidR="008A3E1E" w:rsidRPr="008A3E1E" w:rsidRDefault="008A3E1E" w:rsidP="008A3E1E">
      <w:pPr>
        <w:tabs>
          <w:tab w:val="left" w:pos="2520"/>
        </w:tabs>
        <w:spacing w:after="0" w:line="360" w:lineRule="auto"/>
        <w:jc w:val="both"/>
        <w:rPr>
          <w:rFonts w:ascii="Times New Roman" w:hAnsi="Times New Roman" w:cs="Times New Roman"/>
          <w:sz w:val="24"/>
          <w:szCs w:val="24"/>
        </w:rPr>
      </w:pPr>
      <w:r w:rsidRPr="008A3E1E">
        <w:rPr>
          <w:rFonts w:ascii="Times New Roman" w:hAnsi="Times New Roman" w:cs="Times New Roman"/>
          <w:sz w:val="24"/>
          <w:szCs w:val="24"/>
        </w:rPr>
        <w:t xml:space="preserve">La simple lecture comparée des dispositions de fin d’enquête et d’instruction laisse alors à voir le fossé existant entre les deux régimes. À des droits des parties parcellaires, consultatifs, sans recours répondent des droits assurés, car listés par l’article 175 sus-évoqué, et garantis par un régime de recours devant une chambre de l’instruction. Ce constat nécessite cependant d’être nuancé par la relative jeunesse de la législation concernant les droits des parties lors de l’issue de l’enquête. En effet, cette législation, procédant d’une prise de conscience tardive de la nécessité d’encadrer une enquête devenue hégémonique en matière correctionnelle, n’a que quelques années. Or, il n’est pas inutile de rappeler que le régime de la fin d’information décrit plus haut n’est apparu que tardivement dans le code de procédure pénale, à l’occasion de la loi du 24 août 1993, puis n’a été renforcé qu’au gré d’un scandale judiciaire, l’affaire d’Outreau, par une loi du 5 mars 2007. Dès lors, à l’échelle de cette lente évolution juridique, la conquête des droits des parties à l’issue de l’enquête n’en est qu’à ses balbutiements, étant espéré cependant que l’édiction d’un véritable régime ne prenne pas, comme en matière d’instruction, plusieurs décennies. </w:t>
      </w:r>
    </w:p>
    <w:p w:rsidR="008A3E1E" w:rsidRPr="008A3E1E" w:rsidRDefault="008A3E1E" w:rsidP="008A3E1E">
      <w:pPr>
        <w:tabs>
          <w:tab w:val="left" w:pos="2520"/>
        </w:tabs>
        <w:spacing w:after="0" w:line="360" w:lineRule="auto"/>
        <w:jc w:val="both"/>
        <w:rPr>
          <w:rFonts w:ascii="Times New Roman" w:hAnsi="Times New Roman" w:cs="Times New Roman"/>
          <w:sz w:val="24"/>
          <w:szCs w:val="24"/>
        </w:rPr>
      </w:pPr>
    </w:p>
    <w:p w:rsidR="008A3E1E" w:rsidRPr="008A3E1E" w:rsidRDefault="008A3E1E" w:rsidP="008A3E1E">
      <w:pPr>
        <w:tabs>
          <w:tab w:val="left" w:pos="2520"/>
        </w:tabs>
        <w:spacing w:after="0" w:line="360" w:lineRule="auto"/>
        <w:jc w:val="both"/>
        <w:rPr>
          <w:rFonts w:ascii="Times New Roman" w:hAnsi="Times New Roman" w:cs="Times New Roman"/>
          <w:sz w:val="24"/>
          <w:szCs w:val="24"/>
        </w:rPr>
      </w:pPr>
      <w:r w:rsidRPr="008A3E1E">
        <w:rPr>
          <w:rFonts w:ascii="Times New Roman" w:hAnsi="Times New Roman" w:cs="Times New Roman"/>
          <w:sz w:val="24"/>
          <w:szCs w:val="24"/>
        </w:rPr>
        <w:t>En second lieu, la comparaison des droits des parties concernant la décision finale de l’enquête et de l’instruction suppose de distinguer la situation du mis en cause de celle de la victime.</w:t>
      </w:r>
    </w:p>
    <w:p w:rsidR="008A3E1E" w:rsidRPr="008A3E1E" w:rsidRDefault="008A3E1E" w:rsidP="008A3E1E">
      <w:pPr>
        <w:tabs>
          <w:tab w:val="left" w:pos="2520"/>
        </w:tabs>
        <w:spacing w:after="0" w:line="360" w:lineRule="auto"/>
        <w:jc w:val="both"/>
        <w:rPr>
          <w:rFonts w:ascii="Times New Roman" w:hAnsi="Times New Roman" w:cs="Times New Roman"/>
          <w:sz w:val="24"/>
          <w:szCs w:val="24"/>
        </w:rPr>
      </w:pPr>
    </w:p>
    <w:p w:rsidR="008A3E1E" w:rsidRPr="008A3E1E" w:rsidRDefault="008A3E1E" w:rsidP="008A3E1E">
      <w:pPr>
        <w:tabs>
          <w:tab w:val="left" w:pos="2520"/>
        </w:tabs>
        <w:spacing w:after="0" w:line="360" w:lineRule="auto"/>
        <w:jc w:val="both"/>
        <w:rPr>
          <w:rFonts w:ascii="Times New Roman" w:hAnsi="Times New Roman" w:cs="Times New Roman"/>
          <w:sz w:val="24"/>
          <w:szCs w:val="24"/>
        </w:rPr>
      </w:pPr>
      <w:r w:rsidRPr="008A3E1E">
        <w:rPr>
          <w:rFonts w:ascii="Times New Roman" w:hAnsi="Times New Roman" w:cs="Times New Roman"/>
          <w:sz w:val="24"/>
          <w:szCs w:val="24"/>
        </w:rPr>
        <w:t xml:space="preserve">Pour le mis en cause, ses facultés de recours contre la décision de renvoi devant une juridiction de jugement semblent </w:t>
      </w:r>
      <w:r w:rsidRPr="008A3E1E">
        <w:rPr>
          <w:rFonts w:ascii="Times New Roman" w:hAnsi="Times New Roman" w:cs="Times New Roman"/>
          <w:i/>
          <w:sz w:val="24"/>
          <w:szCs w:val="24"/>
        </w:rPr>
        <w:t>a priori</w:t>
      </w:r>
      <w:r w:rsidRPr="008A3E1E">
        <w:rPr>
          <w:rFonts w:ascii="Times New Roman" w:hAnsi="Times New Roman" w:cs="Times New Roman"/>
          <w:sz w:val="24"/>
          <w:szCs w:val="24"/>
        </w:rPr>
        <w:t xml:space="preserve"> identiques dans les deux cadres. Si ce mis en cause ne peut s’opposer à la décision du procureur de la République de le renvoyer devant le tribunal correctionnel, la personne mise en examen ne peut pas plus, hormis l’hypothèse d’une contestation de correctionnalisation</w:t>
      </w:r>
      <w:r w:rsidRPr="008A3E1E">
        <w:rPr>
          <w:rFonts w:ascii="Times New Roman" w:hAnsi="Times New Roman" w:cs="Times New Roman"/>
          <w:sz w:val="24"/>
          <w:szCs w:val="24"/>
          <w:vertAlign w:val="superscript"/>
        </w:rPr>
        <w:footnoteReference w:id="38"/>
      </w:r>
      <w:r w:rsidRPr="008A3E1E">
        <w:rPr>
          <w:rFonts w:ascii="Times New Roman" w:hAnsi="Times New Roman" w:cs="Times New Roman"/>
          <w:sz w:val="24"/>
          <w:szCs w:val="24"/>
        </w:rPr>
        <w:t>, émettre un recours contre une telle décision du juge d’instruction. Cette apparente similitude cache néanmoins une réelle disparité de situation.</w:t>
      </w:r>
    </w:p>
    <w:p w:rsidR="008A3E1E" w:rsidRPr="008A3E1E" w:rsidRDefault="008A3E1E" w:rsidP="008A3E1E">
      <w:pPr>
        <w:tabs>
          <w:tab w:val="left" w:pos="2520"/>
        </w:tabs>
        <w:spacing w:after="0" w:line="360" w:lineRule="auto"/>
        <w:jc w:val="both"/>
        <w:rPr>
          <w:rFonts w:ascii="Times New Roman" w:hAnsi="Times New Roman" w:cs="Times New Roman"/>
          <w:sz w:val="24"/>
          <w:szCs w:val="24"/>
        </w:rPr>
      </w:pPr>
      <w:r w:rsidRPr="008A3E1E">
        <w:rPr>
          <w:rFonts w:ascii="Times New Roman" w:hAnsi="Times New Roman" w:cs="Times New Roman"/>
          <w:sz w:val="24"/>
          <w:szCs w:val="24"/>
        </w:rPr>
        <w:lastRenderedPageBreak/>
        <w:t>En effet, dans le cadre de l’enquête préliminaire, il faut remarquer que la personne mise en cause n’a, à aucun moment, la possibilité de contester sa mise en cause -dit autrement, son statut de suspect- conditionnant, le cas échéant, son renvoi devant une juridiction pénale</w:t>
      </w:r>
      <w:r w:rsidRPr="008A3E1E">
        <w:rPr>
          <w:rFonts w:ascii="Times New Roman" w:hAnsi="Times New Roman" w:cs="Times New Roman"/>
          <w:sz w:val="24"/>
          <w:szCs w:val="24"/>
          <w:vertAlign w:val="superscript"/>
        </w:rPr>
        <w:footnoteReference w:id="39"/>
      </w:r>
      <w:r w:rsidRPr="008A3E1E">
        <w:rPr>
          <w:rFonts w:ascii="Times New Roman" w:hAnsi="Times New Roman" w:cs="Times New Roman"/>
          <w:sz w:val="24"/>
          <w:szCs w:val="24"/>
        </w:rPr>
        <w:t>. C’est là une différence majeure avec le régime d’instruction qui prévoit, au profit du mis en examen, un droit d’appel devant la chambre de l’instruction de l’ordonnance du juge d’instruction maintenant, malgré sa demande, sa mise en examen</w:t>
      </w:r>
      <w:r w:rsidRPr="008A3E1E">
        <w:rPr>
          <w:rFonts w:ascii="Times New Roman" w:hAnsi="Times New Roman" w:cs="Times New Roman"/>
          <w:sz w:val="24"/>
          <w:szCs w:val="24"/>
          <w:vertAlign w:val="superscript"/>
        </w:rPr>
        <w:footnoteReference w:id="40"/>
      </w:r>
      <w:r w:rsidRPr="008A3E1E">
        <w:rPr>
          <w:rFonts w:ascii="Times New Roman" w:hAnsi="Times New Roman" w:cs="Times New Roman"/>
          <w:sz w:val="24"/>
          <w:szCs w:val="24"/>
        </w:rPr>
        <w:t>. De sorte que, pour résumer, si le mis en cause ne peut pas plus dans le cadre de l’instruction que de l’enquête recourir contre la décision de renvoi devant le juge correctionnel, il peut néanmoins dans le seul premier cas contester le statut présidant à son renvoi ; ce qui invite à relativiser substantiellement l’apparente identité de droits au recours des cadres d’enquête et d’instruction.</w:t>
      </w:r>
    </w:p>
    <w:p w:rsidR="008A3E1E" w:rsidRPr="008A3E1E" w:rsidRDefault="008A3E1E" w:rsidP="008A3E1E">
      <w:pPr>
        <w:tabs>
          <w:tab w:val="left" w:pos="2520"/>
        </w:tabs>
        <w:spacing w:after="0" w:line="360" w:lineRule="auto"/>
        <w:jc w:val="both"/>
        <w:rPr>
          <w:rFonts w:ascii="Times New Roman" w:hAnsi="Times New Roman" w:cs="Times New Roman"/>
          <w:sz w:val="24"/>
          <w:szCs w:val="24"/>
        </w:rPr>
      </w:pPr>
    </w:p>
    <w:p w:rsidR="008A3E1E" w:rsidRPr="008A3E1E" w:rsidRDefault="008A3E1E" w:rsidP="008A3E1E">
      <w:pPr>
        <w:tabs>
          <w:tab w:val="left" w:pos="2520"/>
        </w:tabs>
        <w:spacing w:after="0" w:line="360" w:lineRule="auto"/>
        <w:jc w:val="both"/>
        <w:rPr>
          <w:rFonts w:ascii="Times New Roman" w:hAnsi="Times New Roman" w:cs="Times New Roman"/>
          <w:sz w:val="24"/>
          <w:szCs w:val="24"/>
        </w:rPr>
      </w:pPr>
      <w:r w:rsidRPr="008A3E1E">
        <w:rPr>
          <w:rFonts w:ascii="Times New Roman" w:hAnsi="Times New Roman" w:cs="Times New Roman"/>
          <w:sz w:val="24"/>
          <w:szCs w:val="24"/>
        </w:rPr>
        <w:t>La victime, quant à elle, dispose d’un droit d’appel contre les ordonnances de non-informer et de non-lieu rendues par le juge d’instruction</w:t>
      </w:r>
      <w:r w:rsidRPr="008A3E1E">
        <w:rPr>
          <w:rFonts w:ascii="Times New Roman" w:hAnsi="Times New Roman" w:cs="Times New Roman"/>
          <w:sz w:val="24"/>
          <w:szCs w:val="24"/>
          <w:vertAlign w:val="superscript"/>
        </w:rPr>
        <w:footnoteReference w:id="41"/>
      </w:r>
      <w:r w:rsidRPr="008A3E1E">
        <w:rPr>
          <w:rFonts w:ascii="Times New Roman" w:hAnsi="Times New Roman" w:cs="Times New Roman"/>
          <w:sz w:val="24"/>
          <w:szCs w:val="24"/>
        </w:rPr>
        <w:t>. À l’évidence, un tel recours juridictionnel ne saurait être envisagé s’agissant de la décision de classement sans suite prise par le procureur de la République. Cela étant, contre cette décision administrative, la loi Perben II du 9 mars 2004 a logiquement ouvert un recours administratif auprès du procureur général près la cour d’appel</w:t>
      </w:r>
      <w:r w:rsidRPr="008A3E1E">
        <w:rPr>
          <w:rFonts w:ascii="Times New Roman" w:hAnsi="Times New Roman" w:cs="Times New Roman"/>
          <w:sz w:val="24"/>
          <w:szCs w:val="24"/>
          <w:vertAlign w:val="superscript"/>
        </w:rPr>
        <w:footnoteReference w:id="42"/>
      </w:r>
      <w:r w:rsidRPr="008A3E1E">
        <w:rPr>
          <w:rFonts w:ascii="Times New Roman" w:hAnsi="Times New Roman" w:cs="Times New Roman"/>
          <w:sz w:val="24"/>
          <w:szCs w:val="24"/>
        </w:rPr>
        <w:t>. Outre ce recours administratif, la victime dispose évidemment d’une arme beaucoup plus efficace : celle de déclencher elle-même l’action publique par le biais d’une citation directe ou d’une constitution de partie civile auprès du juge d’instruction. Les droits de la victime à l’issue de l’enquête paraissent dès lors, sinon supérieurs, du moins équivalents -dans leurs effets- à ceux qui lui sont dévolus dans le cadre de l’instruction, ce qui tranche évidemment avec la situation ci-dessus décrite du mis en cause.</w:t>
      </w:r>
    </w:p>
    <w:p w:rsidR="008A3E1E" w:rsidRPr="008A3E1E" w:rsidRDefault="008A3E1E" w:rsidP="008A3E1E">
      <w:pPr>
        <w:tabs>
          <w:tab w:val="left" w:pos="2520"/>
        </w:tabs>
        <w:spacing w:after="0" w:line="360" w:lineRule="auto"/>
        <w:jc w:val="both"/>
        <w:rPr>
          <w:rFonts w:ascii="Times New Roman" w:hAnsi="Times New Roman" w:cs="Times New Roman"/>
          <w:sz w:val="24"/>
          <w:szCs w:val="24"/>
        </w:rPr>
      </w:pPr>
    </w:p>
    <w:p w:rsidR="00016909" w:rsidRPr="0016548C" w:rsidRDefault="008A3E1E" w:rsidP="008A3E1E">
      <w:pPr>
        <w:tabs>
          <w:tab w:val="left" w:pos="2520"/>
        </w:tabs>
        <w:spacing w:after="0" w:line="360" w:lineRule="auto"/>
        <w:jc w:val="both"/>
        <w:rPr>
          <w:rFonts w:ascii="Times New Roman" w:hAnsi="Times New Roman" w:cs="Times New Roman"/>
          <w:sz w:val="24"/>
          <w:szCs w:val="24"/>
        </w:rPr>
      </w:pPr>
      <w:r w:rsidRPr="008A3E1E">
        <w:rPr>
          <w:rFonts w:ascii="Times New Roman" w:hAnsi="Times New Roman" w:cs="Times New Roman"/>
          <w:sz w:val="24"/>
          <w:szCs w:val="24"/>
        </w:rPr>
        <w:t>Au terme de ces quelques observations, il apparaît assez nettement que les droits du mis en cause dans le cadre de l’enquête ne sont en rien identiques à ceux du mis en examen. Pour ce qui concerne la victime, le constat est, quant à lui, plus nuancé. C’est donc bel et bien le mis en cause qui pâtît le plus du remplacement progressif de l’instruction par l’enquête préliminaire en matière correctionnelle, sauf à ce que le législateur continue sa -pour l’heure- timide entreprise de renforcement des droits des parties privées à l’issue de l’enquête.</w:t>
      </w:r>
    </w:p>
    <w:sectPr w:rsidR="00016909" w:rsidRPr="0016548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80B" w:rsidRDefault="007F280B" w:rsidP="00014ED3">
      <w:pPr>
        <w:spacing w:after="0" w:line="240" w:lineRule="auto"/>
      </w:pPr>
      <w:r>
        <w:separator/>
      </w:r>
    </w:p>
  </w:endnote>
  <w:endnote w:type="continuationSeparator" w:id="0">
    <w:p w:rsidR="007F280B" w:rsidRDefault="007F280B" w:rsidP="0001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805843"/>
      <w:docPartObj>
        <w:docPartGallery w:val="Page Numbers (Bottom of Page)"/>
        <w:docPartUnique/>
      </w:docPartObj>
    </w:sdtPr>
    <w:sdtEndPr/>
    <w:sdtContent>
      <w:p w:rsidR="00777F9A" w:rsidRDefault="00777F9A">
        <w:pPr>
          <w:pStyle w:val="Pieddepage"/>
          <w:jc w:val="center"/>
        </w:pPr>
        <w:r>
          <w:fldChar w:fldCharType="begin"/>
        </w:r>
        <w:r>
          <w:instrText>PAGE   \* MERGEFORMAT</w:instrText>
        </w:r>
        <w:r>
          <w:fldChar w:fldCharType="separate"/>
        </w:r>
        <w:r w:rsidR="003C0050">
          <w:rPr>
            <w:noProof/>
          </w:rPr>
          <w:t>1</w:t>
        </w:r>
        <w:r>
          <w:fldChar w:fldCharType="end"/>
        </w:r>
      </w:p>
    </w:sdtContent>
  </w:sdt>
  <w:p w:rsidR="00777F9A" w:rsidRDefault="00777F9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80B" w:rsidRDefault="007F280B" w:rsidP="00014ED3">
      <w:pPr>
        <w:spacing w:after="0" w:line="240" w:lineRule="auto"/>
      </w:pPr>
      <w:r>
        <w:separator/>
      </w:r>
    </w:p>
  </w:footnote>
  <w:footnote w:type="continuationSeparator" w:id="0">
    <w:p w:rsidR="007F280B" w:rsidRDefault="007F280B" w:rsidP="00014ED3">
      <w:pPr>
        <w:spacing w:after="0" w:line="240" w:lineRule="auto"/>
      </w:pPr>
      <w:r>
        <w:continuationSeparator/>
      </w:r>
    </w:p>
  </w:footnote>
  <w:footnote w:id="1">
    <w:p w:rsidR="00777F9A" w:rsidRPr="008F4518" w:rsidRDefault="00777F9A" w:rsidP="0023322B">
      <w:pPr>
        <w:pStyle w:val="Notedebasdepage"/>
        <w:jc w:val="both"/>
        <w:rPr>
          <w:rFonts w:ascii="Times New Roman" w:hAnsi="Times New Roman" w:cs="Times New Roman"/>
        </w:rPr>
      </w:pPr>
      <w:r w:rsidRPr="008F4518">
        <w:rPr>
          <w:rStyle w:val="Appelnotedebasdep"/>
          <w:rFonts w:ascii="Times New Roman" w:hAnsi="Times New Roman" w:cs="Times New Roman"/>
        </w:rPr>
        <w:footnoteRef/>
      </w:r>
      <w:r w:rsidRPr="008F4518">
        <w:rPr>
          <w:rFonts w:ascii="Times New Roman" w:hAnsi="Times New Roman" w:cs="Times New Roman"/>
        </w:rPr>
        <w:t xml:space="preserve"> Sauf, bien sûr, à ce que l’infraction n’ait pas provoqué de victime, ce qui est rare.</w:t>
      </w:r>
    </w:p>
  </w:footnote>
  <w:footnote w:id="2">
    <w:p w:rsidR="00777F9A" w:rsidRPr="008F4518" w:rsidRDefault="00777F9A" w:rsidP="00785294">
      <w:pPr>
        <w:pStyle w:val="Notedebasdepage"/>
        <w:jc w:val="both"/>
        <w:rPr>
          <w:rFonts w:ascii="Times New Roman" w:hAnsi="Times New Roman" w:cs="Times New Roman"/>
        </w:rPr>
      </w:pPr>
      <w:r w:rsidRPr="008F4518">
        <w:rPr>
          <w:rStyle w:val="Appelnotedebasdep"/>
          <w:rFonts w:ascii="Times New Roman" w:hAnsi="Times New Roman" w:cs="Times New Roman"/>
        </w:rPr>
        <w:footnoteRef/>
      </w:r>
      <w:r w:rsidRPr="008F4518">
        <w:rPr>
          <w:rFonts w:ascii="Times New Roman" w:hAnsi="Times New Roman" w:cs="Times New Roman"/>
        </w:rPr>
        <w:t xml:space="preserve"> Art. 80-3 CPP.</w:t>
      </w:r>
    </w:p>
  </w:footnote>
  <w:footnote w:id="3">
    <w:p w:rsidR="00777F9A" w:rsidRPr="008F4518" w:rsidRDefault="00777F9A" w:rsidP="00B32F2D">
      <w:pPr>
        <w:pStyle w:val="Notedebasdepage"/>
        <w:jc w:val="both"/>
        <w:rPr>
          <w:rFonts w:ascii="Times New Roman" w:hAnsi="Times New Roman" w:cs="Times New Roman"/>
        </w:rPr>
      </w:pPr>
      <w:r w:rsidRPr="008F4518">
        <w:rPr>
          <w:rStyle w:val="Appelnotedebasdep"/>
          <w:rFonts w:ascii="Times New Roman" w:hAnsi="Times New Roman" w:cs="Times New Roman"/>
        </w:rPr>
        <w:footnoteRef/>
      </w:r>
      <w:r w:rsidRPr="008F4518">
        <w:rPr>
          <w:rFonts w:ascii="Times New Roman" w:hAnsi="Times New Roman" w:cs="Times New Roman"/>
        </w:rPr>
        <w:t xml:space="preserve"> Art. 114 </w:t>
      </w:r>
      <w:r w:rsidR="00A17D35">
        <w:rPr>
          <w:rFonts w:ascii="Times New Roman" w:hAnsi="Times New Roman" w:cs="Times New Roman"/>
        </w:rPr>
        <w:t xml:space="preserve">CPP </w:t>
      </w:r>
      <w:r w:rsidRPr="008F4518">
        <w:rPr>
          <w:rFonts w:ascii="Times New Roman" w:hAnsi="Times New Roman" w:cs="Times New Roman"/>
        </w:rPr>
        <w:t xml:space="preserve">pour le mis en examen et la partie civile ; art. 113-3 </w:t>
      </w:r>
      <w:r w:rsidR="00A17D35">
        <w:rPr>
          <w:rFonts w:ascii="Times New Roman" w:hAnsi="Times New Roman" w:cs="Times New Roman"/>
        </w:rPr>
        <w:t xml:space="preserve">CPP </w:t>
      </w:r>
      <w:r w:rsidRPr="008F4518">
        <w:rPr>
          <w:rFonts w:ascii="Times New Roman" w:hAnsi="Times New Roman" w:cs="Times New Roman"/>
        </w:rPr>
        <w:t>pour le témoin assisté.</w:t>
      </w:r>
    </w:p>
  </w:footnote>
  <w:footnote w:id="4">
    <w:p w:rsidR="00777F9A" w:rsidRPr="0039381C" w:rsidRDefault="00777F9A" w:rsidP="00B32F2D">
      <w:pPr>
        <w:pStyle w:val="Notedebasdepage"/>
        <w:jc w:val="both"/>
        <w:rPr>
          <w:rFonts w:ascii="Times New Roman" w:hAnsi="Times New Roman" w:cs="Times New Roman"/>
        </w:rPr>
      </w:pPr>
      <w:r w:rsidRPr="0039381C">
        <w:rPr>
          <w:rStyle w:val="Appelnotedebasdep"/>
          <w:rFonts w:ascii="Times New Roman" w:hAnsi="Times New Roman" w:cs="Times New Roman"/>
        </w:rPr>
        <w:footnoteRef/>
      </w:r>
      <w:r w:rsidRPr="0039381C">
        <w:rPr>
          <w:rFonts w:ascii="Times New Roman" w:hAnsi="Times New Roman" w:cs="Times New Roman"/>
        </w:rPr>
        <w:t xml:space="preserve"> Art. 89 et 183 </w:t>
      </w:r>
      <w:r w:rsidR="00A17D35">
        <w:rPr>
          <w:rFonts w:ascii="Times New Roman" w:hAnsi="Times New Roman" w:cs="Times New Roman"/>
        </w:rPr>
        <w:t xml:space="preserve">CPP </w:t>
      </w:r>
      <w:r w:rsidRPr="0039381C">
        <w:rPr>
          <w:rFonts w:ascii="Times New Roman" w:hAnsi="Times New Roman" w:cs="Times New Roman"/>
        </w:rPr>
        <w:t xml:space="preserve">pour la victime ; art. 183 </w:t>
      </w:r>
      <w:r w:rsidR="00A17D35">
        <w:rPr>
          <w:rFonts w:ascii="Times New Roman" w:hAnsi="Times New Roman" w:cs="Times New Roman"/>
        </w:rPr>
        <w:t xml:space="preserve">CPP </w:t>
      </w:r>
      <w:r w:rsidRPr="0039381C">
        <w:rPr>
          <w:rFonts w:ascii="Times New Roman" w:hAnsi="Times New Roman" w:cs="Times New Roman"/>
        </w:rPr>
        <w:t>pour le témoin assisté et le mis en examen.</w:t>
      </w:r>
    </w:p>
  </w:footnote>
  <w:footnote w:id="5">
    <w:p w:rsidR="00777F9A" w:rsidRPr="00A17D35" w:rsidRDefault="00777F9A" w:rsidP="004254A7">
      <w:pPr>
        <w:pStyle w:val="Notedebasdepage"/>
        <w:jc w:val="both"/>
        <w:rPr>
          <w:rFonts w:ascii="Times New Roman" w:hAnsi="Times New Roman" w:cs="Times New Roman"/>
          <w:lang w:val="en-US"/>
        </w:rPr>
      </w:pPr>
      <w:r w:rsidRPr="008F4518">
        <w:rPr>
          <w:rStyle w:val="Appelnotedebasdep"/>
          <w:rFonts w:ascii="Times New Roman" w:hAnsi="Times New Roman" w:cs="Times New Roman"/>
        </w:rPr>
        <w:footnoteRef/>
      </w:r>
      <w:r w:rsidRPr="00A17D35">
        <w:rPr>
          <w:rFonts w:ascii="Times New Roman" w:hAnsi="Times New Roman" w:cs="Times New Roman"/>
          <w:lang w:val="en-US"/>
        </w:rPr>
        <w:t xml:space="preserve"> Art. 175</w:t>
      </w:r>
      <w:r w:rsidR="00A17D35" w:rsidRPr="00A17D35">
        <w:rPr>
          <w:rFonts w:ascii="Times New Roman" w:hAnsi="Times New Roman" w:cs="Times New Roman"/>
          <w:lang w:val="en-US"/>
        </w:rPr>
        <w:t xml:space="preserve"> CPP</w:t>
      </w:r>
      <w:r w:rsidRPr="00A17D35">
        <w:rPr>
          <w:rFonts w:ascii="Times New Roman" w:hAnsi="Times New Roman" w:cs="Times New Roman"/>
          <w:lang w:val="en-US"/>
        </w:rPr>
        <w:t>.</w:t>
      </w:r>
    </w:p>
  </w:footnote>
  <w:footnote w:id="6">
    <w:p w:rsidR="00777F9A" w:rsidRPr="008F4518" w:rsidRDefault="00777F9A" w:rsidP="00B32F2D">
      <w:pPr>
        <w:pStyle w:val="Notedebasdepage"/>
        <w:jc w:val="both"/>
        <w:rPr>
          <w:rFonts w:ascii="Times New Roman" w:hAnsi="Times New Roman" w:cs="Times New Roman"/>
          <w:lang w:val="en-US"/>
        </w:rPr>
      </w:pPr>
      <w:r w:rsidRPr="008F4518">
        <w:rPr>
          <w:rStyle w:val="Appelnotedebasdep"/>
          <w:rFonts w:ascii="Times New Roman" w:hAnsi="Times New Roman" w:cs="Times New Roman"/>
        </w:rPr>
        <w:footnoteRef/>
      </w:r>
      <w:r w:rsidRPr="008F4518">
        <w:rPr>
          <w:rFonts w:ascii="Times New Roman" w:hAnsi="Times New Roman" w:cs="Times New Roman"/>
          <w:lang w:val="en-US"/>
        </w:rPr>
        <w:t xml:space="preserve"> Art. 113-2</w:t>
      </w:r>
      <w:r w:rsidR="00A17D35">
        <w:rPr>
          <w:rFonts w:ascii="Times New Roman" w:hAnsi="Times New Roman" w:cs="Times New Roman"/>
          <w:lang w:val="en-US"/>
        </w:rPr>
        <w:t xml:space="preserve"> CPP</w:t>
      </w:r>
      <w:r w:rsidRPr="008F4518">
        <w:rPr>
          <w:rFonts w:ascii="Times New Roman" w:hAnsi="Times New Roman" w:cs="Times New Roman"/>
          <w:lang w:val="en-US"/>
        </w:rPr>
        <w:t>.</w:t>
      </w:r>
    </w:p>
  </w:footnote>
  <w:footnote w:id="7">
    <w:p w:rsidR="00777F9A" w:rsidRPr="008F4518" w:rsidRDefault="00777F9A" w:rsidP="00B32F2D">
      <w:pPr>
        <w:pStyle w:val="Notedebasdepage"/>
        <w:jc w:val="both"/>
        <w:rPr>
          <w:rFonts w:ascii="Times New Roman" w:hAnsi="Times New Roman" w:cs="Times New Roman"/>
          <w:lang w:val="en-US"/>
        </w:rPr>
      </w:pPr>
      <w:r w:rsidRPr="008F4518">
        <w:rPr>
          <w:rStyle w:val="Appelnotedebasdep"/>
          <w:rFonts w:ascii="Times New Roman" w:hAnsi="Times New Roman" w:cs="Times New Roman"/>
        </w:rPr>
        <w:footnoteRef/>
      </w:r>
      <w:r w:rsidRPr="008F4518">
        <w:rPr>
          <w:rFonts w:ascii="Times New Roman" w:hAnsi="Times New Roman" w:cs="Times New Roman"/>
          <w:lang w:val="en-US"/>
        </w:rPr>
        <w:t xml:space="preserve"> Art. 113-4</w:t>
      </w:r>
      <w:r w:rsidR="00A17D35">
        <w:rPr>
          <w:rFonts w:ascii="Times New Roman" w:hAnsi="Times New Roman" w:cs="Times New Roman"/>
          <w:lang w:val="en-US"/>
        </w:rPr>
        <w:t xml:space="preserve"> CPP</w:t>
      </w:r>
      <w:r w:rsidRPr="008F4518">
        <w:rPr>
          <w:rFonts w:ascii="Times New Roman" w:hAnsi="Times New Roman" w:cs="Times New Roman"/>
          <w:lang w:val="en-US"/>
        </w:rPr>
        <w:t>.</w:t>
      </w:r>
    </w:p>
  </w:footnote>
  <w:footnote w:id="8">
    <w:p w:rsidR="00777F9A" w:rsidRPr="008F4518" w:rsidRDefault="00777F9A" w:rsidP="00341E5B">
      <w:pPr>
        <w:pStyle w:val="Notedebasdepage"/>
        <w:jc w:val="both"/>
        <w:rPr>
          <w:rFonts w:ascii="Times New Roman" w:hAnsi="Times New Roman" w:cs="Times New Roman"/>
          <w:lang w:val="en-US"/>
        </w:rPr>
      </w:pPr>
      <w:r w:rsidRPr="008F4518">
        <w:rPr>
          <w:rStyle w:val="Appelnotedebasdep"/>
          <w:rFonts w:ascii="Times New Roman" w:hAnsi="Times New Roman" w:cs="Times New Roman"/>
        </w:rPr>
        <w:footnoteRef/>
      </w:r>
      <w:r w:rsidRPr="008F4518">
        <w:rPr>
          <w:rFonts w:ascii="Times New Roman" w:hAnsi="Times New Roman" w:cs="Times New Roman"/>
          <w:lang w:val="en-US"/>
        </w:rPr>
        <w:t xml:space="preserve"> Art. 113-8</w:t>
      </w:r>
      <w:r w:rsidR="00A17D35">
        <w:rPr>
          <w:rFonts w:ascii="Times New Roman" w:hAnsi="Times New Roman" w:cs="Times New Roman"/>
          <w:lang w:val="en-US"/>
        </w:rPr>
        <w:t xml:space="preserve"> CPP</w:t>
      </w:r>
      <w:r w:rsidRPr="008F4518">
        <w:rPr>
          <w:rFonts w:ascii="Times New Roman" w:hAnsi="Times New Roman" w:cs="Times New Roman"/>
          <w:lang w:val="en-US"/>
        </w:rPr>
        <w:t>.</w:t>
      </w:r>
    </w:p>
  </w:footnote>
  <w:footnote w:id="9">
    <w:p w:rsidR="00777F9A" w:rsidRPr="008F4518" w:rsidRDefault="00777F9A" w:rsidP="00341E5B">
      <w:pPr>
        <w:pStyle w:val="Notedebasdepage"/>
        <w:jc w:val="both"/>
        <w:rPr>
          <w:rFonts w:ascii="Times New Roman" w:hAnsi="Times New Roman" w:cs="Times New Roman"/>
          <w:lang w:val="en-US"/>
        </w:rPr>
      </w:pPr>
      <w:r w:rsidRPr="008F4518">
        <w:rPr>
          <w:rStyle w:val="Appelnotedebasdep"/>
          <w:rFonts w:ascii="Times New Roman" w:hAnsi="Times New Roman" w:cs="Times New Roman"/>
        </w:rPr>
        <w:footnoteRef/>
      </w:r>
      <w:r w:rsidRPr="008F4518">
        <w:rPr>
          <w:rFonts w:ascii="Times New Roman" w:hAnsi="Times New Roman" w:cs="Times New Roman"/>
          <w:lang w:val="en-US"/>
        </w:rPr>
        <w:t xml:space="preserve"> Art. 113-8</w:t>
      </w:r>
      <w:r w:rsidR="00A17D35">
        <w:rPr>
          <w:rFonts w:ascii="Times New Roman" w:hAnsi="Times New Roman" w:cs="Times New Roman"/>
          <w:lang w:val="en-US"/>
        </w:rPr>
        <w:t xml:space="preserve"> CPP</w:t>
      </w:r>
      <w:r w:rsidRPr="008F4518">
        <w:rPr>
          <w:rFonts w:ascii="Times New Roman" w:hAnsi="Times New Roman" w:cs="Times New Roman"/>
          <w:lang w:val="en-US"/>
        </w:rPr>
        <w:t>.</w:t>
      </w:r>
    </w:p>
  </w:footnote>
  <w:footnote w:id="10">
    <w:p w:rsidR="00777F9A" w:rsidRPr="008F4518" w:rsidRDefault="00777F9A" w:rsidP="007B4312">
      <w:pPr>
        <w:pStyle w:val="Notedebasdepage"/>
        <w:jc w:val="both"/>
        <w:rPr>
          <w:rFonts w:ascii="Times New Roman" w:hAnsi="Times New Roman" w:cs="Times New Roman"/>
          <w:lang w:val="en-US"/>
        </w:rPr>
      </w:pPr>
      <w:r w:rsidRPr="008F4518">
        <w:rPr>
          <w:rStyle w:val="Appelnotedebasdep"/>
          <w:rFonts w:ascii="Times New Roman" w:hAnsi="Times New Roman" w:cs="Times New Roman"/>
        </w:rPr>
        <w:footnoteRef/>
      </w:r>
      <w:r w:rsidRPr="008F4518">
        <w:rPr>
          <w:rFonts w:ascii="Times New Roman" w:hAnsi="Times New Roman" w:cs="Times New Roman"/>
          <w:lang w:val="en-US"/>
        </w:rPr>
        <w:t xml:space="preserve"> Art. 80-2</w:t>
      </w:r>
      <w:r w:rsidR="00A17D35">
        <w:rPr>
          <w:rFonts w:ascii="Times New Roman" w:hAnsi="Times New Roman" w:cs="Times New Roman"/>
          <w:lang w:val="en-US"/>
        </w:rPr>
        <w:t xml:space="preserve"> CPP.</w:t>
      </w:r>
    </w:p>
  </w:footnote>
  <w:footnote w:id="11">
    <w:p w:rsidR="00777F9A" w:rsidRPr="008F4518" w:rsidRDefault="00777F9A" w:rsidP="007B4312">
      <w:pPr>
        <w:pStyle w:val="Notedebasdepage"/>
        <w:jc w:val="both"/>
        <w:rPr>
          <w:rFonts w:ascii="Times New Roman" w:hAnsi="Times New Roman" w:cs="Times New Roman"/>
          <w:lang w:val="en-US"/>
        </w:rPr>
      </w:pPr>
      <w:r w:rsidRPr="008F4518">
        <w:rPr>
          <w:rStyle w:val="Appelnotedebasdep"/>
          <w:rFonts w:ascii="Times New Roman" w:hAnsi="Times New Roman" w:cs="Times New Roman"/>
        </w:rPr>
        <w:footnoteRef/>
      </w:r>
      <w:r w:rsidRPr="008F4518">
        <w:rPr>
          <w:rFonts w:ascii="Times New Roman" w:hAnsi="Times New Roman" w:cs="Times New Roman"/>
          <w:lang w:val="en-US"/>
        </w:rPr>
        <w:t xml:space="preserve"> Art. 116</w:t>
      </w:r>
      <w:r w:rsidR="00A17D35">
        <w:rPr>
          <w:rFonts w:ascii="Times New Roman" w:hAnsi="Times New Roman" w:cs="Times New Roman"/>
          <w:lang w:val="en-US"/>
        </w:rPr>
        <w:t xml:space="preserve"> CPP</w:t>
      </w:r>
      <w:r w:rsidRPr="008F4518">
        <w:rPr>
          <w:rFonts w:ascii="Times New Roman" w:hAnsi="Times New Roman" w:cs="Times New Roman"/>
          <w:lang w:val="en-US"/>
        </w:rPr>
        <w:t>.</w:t>
      </w:r>
    </w:p>
  </w:footnote>
  <w:footnote w:id="12">
    <w:p w:rsidR="00777F9A" w:rsidRPr="008F4518" w:rsidRDefault="00777F9A" w:rsidP="008E60EB">
      <w:pPr>
        <w:pStyle w:val="Notedebasdepage"/>
        <w:jc w:val="both"/>
        <w:rPr>
          <w:rFonts w:ascii="Times New Roman" w:hAnsi="Times New Roman" w:cs="Times New Roman"/>
          <w:lang w:val="en-US"/>
        </w:rPr>
      </w:pPr>
      <w:r w:rsidRPr="008F4518">
        <w:rPr>
          <w:rStyle w:val="Appelnotedebasdep"/>
          <w:rFonts w:ascii="Times New Roman" w:hAnsi="Times New Roman" w:cs="Times New Roman"/>
        </w:rPr>
        <w:footnoteRef/>
      </w:r>
      <w:r w:rsidRPr="008F4518">
        <w:rPr>
          <w:rFonts w:ascii="Times New Roman" w:hAnsi="Times New Roman" w:cs="Times New Roman"/>
          <w:lang w:val="en-US"/>
        </w:rPr>
        <w:t xml:space="preserve"> Art. 138</w:t>
      </w:r>
      <w:r w:rsidR="00A17D35">
        <w:rPr>
          <w:rFonts w:ascii="Times New Roman" w:hAnsi="Times New Roman" w:cs="Times New Roman"/>
          <w:lang w:val="en-US"/>
        </w:rPr>
        <w:t xml:space="preserve"> CPP</w:t>
      </w:r>
      <w:r w:rsidRPr="008F4518">
        <w:rPr>
          <w:rFonts w:ascii="Times New Roman" w:hAnsi="Times New Roman" w:cs="Times New Roman"/>
          <w:lang w:val="en-US"/>
        </w:rPr>
        <w:t>.</w:t>
      </w:r>
    </w:p>
  </w:footnote>
  <w:footnote w:id="13">
    <w:p w:rsidR="00777F9A" w:rsidRPr="00A17D35" w:rsidRDefault="00777F9A" w:rsidP="00CB193B">
      <w:pPr>
        <w:pStyle w:val="Notedebasdepage"/>
        <w:jc w:val="both"/>
        <w:rPr>
          <w:rFonts w:ascii="Times New Roman" w:hAnsi="Times New Roman" w:cs="Times New Roman"/>
          <w:lang w:val="en-US"/>
        </w:rPr>
      </w:pPr>
      <w:r w:rsidRPr="008F4518">
        <w:rPr>
          <w:rStyle w:val="Appelnotedebasdep"/>
          <w:rFonts w:ascii="Times New Roman" w:hAnsi="Times New Roman" w:cs="Times New Roman"/>
        </w:rPr>
        <w:footnoteRef/>
      </w:r>
      <w:r w:rsidRPr="00A17D35">
        <w:rPr>
          <w:rFonts w:ascii="Times New Roman" w:hAnsi="Times New Roman" w:cs="Times New Roman"/>
          <w:lang w:val="en-US"/>
        </w:rPr>
        <w:t xml:space="preserve"> Art. 145 et s.</w:t>
      </w:r>
      <w:r w:rsidR="00A17D35" w:rsidRPr="00A17D35">
        <w:rPr>
          <w:rFonts w:ascii="Times New Roman" w:hAnsi="Times New Roman" w:cs="Times New Roman"/>
          <w:lang w:val="en-US"/>
        </w:rPr>
        <w:t xml:space="preserve"> C</w:t>
      </w:r>
      <w:r w:rsidR="00A17D35">
        <w:rPr>
          <w:rFonts w:ascii="Times New Roman" w:hAnsi="Times New Roman" w:cs="Times New Roman"/>
          <w:lang w:val="en-US"/>
        </w:rPr>
        <w:t>PP.</w:t>
      </w:r>
    </w:p>
  </w:footnote>
  <w:footnote w:id="14">
    <w:p w:rsidR="00777F9A" w:rsidRPr="008F4518" w:rsidRDefault="00777F9A" w:rsidP="00CB193B">
      <w:pPr>
        <w:pStyle w:val="Notedebasdepage"/>
        <w:jc w:val="both"/>
        <w:rPr>
          <w:rFonts w:ascii="Times New Roman" w:hAnsi="Times New Roman" w:cs="Times New Roman"/>
          <w:lang w:val="en-US"/>
        </w:rPr>
      </w:pPr>
      <w:r w:rsidRPr="008F4518">
        <w:rPr>
          <w:rStyle w:val="Appelnotedebasdep"/>
          <w:rFonts w:ascii="Times New Roman" w:hAnsi="Times New Roman" w:cs="Times New Roman"/>
        </w:rPr>
        <w:footnoteRef/>
      </w:r>
      <w:r w:rsidRPr="008F4518">
        <w:rPr>
          <w:rFonts w:ascii="Times New Roman" w:hAnsi="Times New Roman" w:cs="Times New Roman"/>
          <w:lang w:val="en-US"/>
        </w:rPr>
        <w:t xml:space="preserve"> Art. 89-1</w:t>
      </w:r>
      <w:r w:rsidR="00A17D35">
        <w:rPr>
          <w:rFonts w:ascii="Times New Roman" w:hAnsi="Times New Roman" w:cs="Times New Roman"/>
          <w:lang w:val="en-US"/>
        </w:rPr>
        <w:t xml:space="preserve"> CPP</w:t>
      </w:r>
      <w:r w:rsidRPr="008F4518">
        <w:rPr>
          <w:rFonts w:ascii="Times New Roman" w:hAnsi="Times New Roman" w:cs="Times New Roman"/>
          <w:lang w:val="en-US"/>
        </w:rPr>
        <w:t>.</w:t>
      </w:r>
    </w:p>
  </w:footnote>
  <w:footnote w:id="15">
    <w:p w:rsidR="00777F9A" w:rsidRPr="008F4518" w:rsidRDefault="00777F9A" w:rsidP="00CB193B">
      <w:pPr>
        <w:pStyle w:val="Notedebasdepage"/>
        <w:jc w:val="both"/>
        <w:rPr>
          <w:rFonts w:ascii="Times New Roman" w:hAnsi="Times New Roman" w:cs="Times New Roman"/>
          <w:lang w:val="en-US"/>
        </w:rPr>
      </w:pPr>
      <w:r w:rsidRPr="008F4518">
        <w:rPr>
          <w:rStyle w:val="Appelnotedebasdep"/>
          <w:rFonts w:ascii="Times New Roman" w:hAnsi="Times New Roman" w:cs="Times New Roman"/>
        </w:rPr>
        <w:footnoteRef/>
      </w:r>
      <w:r w:rsidRPr="008F4518">
        <w:rPr>
          <w:rFonts w:ascii="Times New Roman" w:hAnsi="Times New Roman" w:cs="Times New Roman"/>
          <w:lang w:val="en-US"/>
        </w:rPr>
        <w:t xml:space="preserve"> Art. 90-1</w:t>
      </w:r>
      <w:r w:rsidR="00A17D35">
        <w:rPr>
          <w:rFonts w:ascii="Times New Roman" w:hAnsi="Times New Roman" w:cs="Times New Roman"/>
          <w:lang w:val="en-US"/>
        </w:rPr>
        <w:t xml:space="preserve"> CPP</w:t>
      </w:r>
      <w:r w:rsidRPr="008F4518">
        <w:rPr>
          <w:rFonts w:ascii="Times New Roman" w:hAnsi="Times New Roman" w:cs="Times New Roman"/>
          <w:lang w:val="en-US"/>
        </w:rPr>
        <w:t>.</w:t>
      </w:r>
    </w:p>
  </w:footnote>
  <w:footnote w:id="16">
    <w:p w:rsidR="00777F9A" w:rsidRPr="00A17D35" w:rsidRDefault="00777F9A" w:rsidP="00705210">
      <w:pPr>
        <w:pStyle w:val="Notedebasdepage"/>
        <w:jc w:val="both"/>
        <w:rPr>
          <w:rFonts w:ascii="Times New Roman" w:hAnsi="Times New Roman" w:cs="Times New Roman"/>
          <w:lang w:val="en-US"/>
        </w:rPr>
      </w:pPr>
      <w:r w:rsidRPr="008F4518">
        <w:rPr>
          <w:rStyle w:val="Appelnotedebasdep"/>
          <w:rFonts w:ascii="Times New Roman" w:hAnsi="Times New Roman" w:cs="Times New Roman"/>
        </w:rPr>
        <w:footnoteRef/>
      </w:r>
      <w:r w:rsidRPr="00A17D35">
        <w:rPr>
          <w:rFonts w:ascii="Times New Roman" w:hAnsi="Times New Roman" w:cs="Times New Roman"/>
          <w:lang w:val="en-US"/>
        </w:rPr>
        <w:t xml:space="preserve"> Art. 138 et 144-2</w:t>
      </w:r>
      <w:r w:rsidR="00A17D35">
        <w:rPr>
          <w:rFonts w:ascii="Times New Roman" w:hAnsi="Times New Roman" w:cs="Times New Roman"/>
          <w:lang w:val="en-US"/>
        </w:rPr>
        <w:t xml:space="preserve"> CPP</w:t>
      </w:r>
      <w:r w:rsidRPr="00A17D35">
        <w:rPr>
          <w:rFonts w:ascii="Times New Roman" w:hAnsi="Times New Roman" w:cs="Times New Roman"/>
          <w:lang w:val="en-US"/>
        </w:rPr>
        <w:t>.</w:t>
      </w:r>
    </w:p>
  </w:footnote>
  <w:footnote w:id="17">
    <w:p w:rsidR="00777F9A" w:rsidRPr="00A17D35" w:rsidRDefault="00777F9A" w:rsidP="00F2721F">
      <w:pPr>
        <w:pStyle w:val="Notedebasdepage"/>
        <w:jc w:val="both"/>
        <w:rPr>
          <w:rFonts w:ascii="Times New Roman" w:hAnsi="Times New Roman" w:cs="Times New Roman"/>
          <w:lang w:val="en-US"/>
        </w:rPr>
      </w:pPr>
      <w:r w:rsidRPr="008F4518">
        <w:rPr>
          <w:rStyle w:val="Appelnotedebasdep"/>
          <w:rFonts w:ascii="Times New Roman" w:hAnsi="Times New Roman" w:cs="Times New Roman"/>
        </w:rPr>
        <w:footnoteRef/>
      </w:r>
      <w:r w:rsidRPr="00A17D35">
        <w:rPr>
          <w:rFonts w:ascii="Times New Roman" w:hAnsi="Times New Roman" w:cs="Times New Roman"/>
          <w:lang w:val="en-US"/>
        </w:rPr>
        <w:t xml:space="preserve"> Art. 161-1 et s.</w:t>
      </w:r>
      <w:r w:rsidR="00A17D35">
        <w:rPr>
          <w:rFonts w:ascii="Times New Roman" w:hAnsi="Times New Roman" w:cs="Times New Roman"/>
          <w:lang w:val="en-US"/>
        </w:rPr>
        <w:t xml:space="preserve"> CPP.</w:t>
      </w:r>
    </w:p>
  </w:footnote>
  <w:footnote w:id="18">
    <w:p w:rsidR="00777F9A" w:rsidRPr="008F4518" w:rsidRDefault="00777F9A" w:rsidP="00DD501E">
      <w:pPr>
        <w:pStyle w:val="Notedebasdepage"/>
        <w:jc w:val="both"/>
        <w:rPr>
          <w:rFonts w:ascii="Times New Roman" w:hAnsi="Times New Roman" w:cs="Times New Roman"/>
          <w:lang w:val="en-US"/>
        </w:rPr>
      </w:pPr>
      <w:r w:rsidRPr="008F4518">
        <w:rPr>
          <w:rStyle w:val="Appelnotedebasdep"/>
          <w:rFonts w:ascii="Times New Roman" w:hAnsi="Times New Roman" w:cs="Times New Roman"/>
        </w:rPr>
        <w:footnoteRef/>
      </w:r>
      <w:r w:rsidRPr="008F4518">
        <w:rPr>
          <w:rFonts w:ascii="Times New Roman" w:hAnsi="Times New Roman" w:cs="Times New Roman"/>
          <w:lang w:val="en-US"/>
        </w:rPr>
        <w:t xml:space="preserve"> Art. </w:t>
      </w:r>
      <w:r w:rsidR="00A17D35">
        <w:rPr>
          <w:rFonts w:ascii="Times New Roman" w:hAnsi="Times New Roman" w:cs="Times New Roman"/>
          <w:lang w:val="en-US"/>
        </w:rPr>
        <w:t>10-1 CPP.</w:t>
      </w:r>
    </w:p>
  </w:footnote>
  <w:footnote w:id="19">
    <w:p w:rsidR="00777F9A" w:rsidRPr="008F4518" w:rsidRDefault="00777F9A" w:rsidP="00AD4524">
      <w:pPr>
        <w:pStyle w:val="Notedebasdepage"/>
        <w:jc w:val="both"/>
        <w:rPr>
          <w:rFonts w:ascii="Times New Roman" w:hAnsi="Times New Roman" w:cs="Times New Roman"/>
          <w:lang w:val="en-US"/>
        </w:rPr>
      </w:pPr>
      <w:r w:rsidRPr="008F4518">
        <w:rPr>
          <w:rStyle w:val="Appelnotedebasdep"/>
          <w:rFonts w:ascii="Times New Roman" w:hAnsi="Times New Roman" w:cs="Times New Roman"/>
        </w:rPr>
        <w:footnoteRef/>
      </w:r>
      <w:r w:rsidRPr="008F4518">
        <w:rPr>
          <w:rFonts w:ascii="Times New Roman" w:hAnsi="Times New Roman" w:cs="Times New Roman"/>
          <w:lang w:val="en-US"/>
        </w:rPr>
        <w:t xml:space="preserve"> Art. 61-1 et s.</w:t>
      </w:r>
      <w:r w:rsidR="00A17D35">
        <w:rPr>
          <w:rFonts w:ascii="Times New Roman" w:hAnsi="Times New Roman" w:cs="Times New Roman"/>
          <w:lang w:val="en-US"/>
        </w:rPr>
        <w:t xml:space="preserve"> CPP.</w:t>
      </w:r>
    </w:p>
  </w:footnote>
  <w:footnote w:id="20">
    <w:p w:rsidR="00777F9A" w:rsidRPr="008F4518" w:rsidRDefault="00777F9A" w:rsidP="0035241B">
      <w:pPr>
        <w:pStyle w:val="Notedebasdepage"/>
        <w:jc w:val="both"/>
        <w:rPr>
          <w:rFonts w:ascii="Times New Roman" w:hAnsi="Times New Roman" w:cs="Times New Roman"/>
          <w:lang w:val="en-US"/>
        </w:rPr>
      </w:pPr>
      <w:r w:rsidRPr="008F4518">
        <w:rPr>
          <w:rStyle w:val="Appelnotedebasdep"/>
          <w:rFonts w:ascii="Times New Roman" w:hAnsi="Times New Roman" w:cs="Times New Roman"/>
        </w:rPr>
        <w:footnoteRef/>
      </w:r>
      <w:r w:rsidR="00A17D35">
        <w:rPr>
          <w:rFonts w:ascii="Times New Roman" w:hAnsi="Times New Roman" w:cs="Times New Roman"/>
          <w:lang w:val="en-US"/>
        </w:rPr>
        <w:t xml:space="preserve"> Art. 77-2 CPP.</w:t>
      </w:r>
    </w:p>
  </w:footnote>
  <w:footnote w:id="21">
    <w:p w:rsidR="00777F9A" w:rsidRPr="008F4518" w:rsidRDefault="00777F9A" w:rsidP="00632744">
      <w:pPr>
        <w:pStyle w:val="Notedebasdepage"/>
        <w:jc w:val="both"/>
        <w:rPr>
          <w:rFonts w:ascii="Times New Roman" w:hAnsi="Times New Roman" w:cs="Times New Roman"/>
        </w:rPr>
      </w:pPr>
      <w:r w:rsidRPr="008F4518">
        <w:rPr>
          <w:rStyle w:val="Appelnotedebasdep"/>
          <w:rFonts w:ascii="Times New Roman" w:hAnsi="Times New Roman" w:cs="Times New Roman"/>
        </w:rPr>
        <w:footnoteRef/>
      </w:r>
      <w:r w:rsidRPr="00B93DC3">
        <w:rPr>
          <w:rFonts w:ascii="Times New Roman" w:hAnsi="Times New Roman" w:cs="Times New Roman"/>
        </w:rPr>
        <w:t xml:space="preserve"> Art. 40-2 et </w:t>
      </w:r>
      <w:r w:rsidR="00B93DC3">
        <w:rPr>
          <w:rFonts w:ascii="Times New Roman" w:hAnsi="Times New Roman" w:cs="Times New Roman"/>
        </w:rPr>
        <w:t>40-4 CPP.</w:t>
      </w:r>
    </w:p>
  </w:footnote>
  <w:footnote w:id="22">
    <w:p w:rsidR="00777F9A" w:rsidRPr="008F4518" w:rsidRDefault="00777F9A" w:rsidP="00A3408D">
      <w:pPr>
        <w:pStyle w:val="Notedebasdepage"/>
        <w:jc w:val="both"/>
        <w:rPr>
          <w:rFonts w:ascii="Times New Roman" w:hAnsi="Times New Roman" w:cs="Times New Roman"/>
        </w:rPr>
      </w:pPr>
      <w:r w:rsidRPr="008F4518">
        <w:rPr>
          <w:rStyle w:val="Appelnotedebasdep"/>
          <w:rFonts w:ascii="Times New Roman" w:hAnsi="Times New Roman" w:cs="Times New Roman"/>
        </w:rPr>
        <w:footnoteRef/>
      </w:r>
      <w:r w:rsidRPr="008F4518">
        <w:rPr>
          <w:rFonts w:ascii="Times New Roman" w:hAnsi="Times New Roman" w:cs="Times New Roman"/>
        </w:rPr>
        <w:t xml:space="preserve"> Art. 80-3 </w:t>
      </w:r>
      <w:r w:rsidR="00B93DC3">
        <w:rPr>
          <w:rFonts w:ascii="Times New Roman" w:hAnsi="Times New Roman" w:cs="Times New Roman"/>
        </w:rPr>
        <w:t xml:space="preserve">CPP </w:t>
      </w:r>
      <w:r w:rsidRPr="008F4518">
        <w:rPr>
          <w:rFonts w:ascii="Times New Roman" w:hAnsi="Times New Roman" w:cs="Times New Roman"/>
        </w:rPr>
        <w:t xml:space="preserve">pour la victime ; art. 113-3 </w:t>
      </w:r>
      <w:r w:rsidR="00B93DC3">
        <w:rPr>
          <w:rFonts w:ascii="Times New Roman" w:hAnsi="Times New Roman" w:cs="Times New Roman"/>
        </w:rPr>
        <w:t xml:space="preserve">CPP </w:t>
      </w:r>
      <w:r w:rsidRPr="008F4518">
        <w:rPr>
          <w:rFonts w:ascii="Times New Roman" w:hAnsi="Times New Roman" w:cs="Times New Roman"/>
        </w:rPr>
        <w:t>pour le témoin assisté.</w:t>
      </w:r>
    </w:p>
  </w:footnote>
  <w:footnote w:id="23">
    <w:p w:rsidR="00777F9A" w:rsidRPr="00BD2A7A" w:rsidRDefault="00777F9A" w:rsidP="00BD2A7A">
      <w:pPr>
        <w:pStyle w:val="Notedebasdepage"/>
        <w:jc w:val="both"/>
        <w:rPr>
          <w:rFonts w:ascii="Times New Roman" w:hAnsi="Times New Roman" w:cs="Times New Roman"/>
        </w:rPr>
      </w:pPr>
      <w:r w:rsidRPr="00BD2A7A">
        <w:rPr>
          <w:rStyle w:val="Appelnotedebasdep"/>
          <w:rFonts w:ascii="Times New Roman" w:hAnsi="Times New Roman" w:cs="Times New Roman"/>
        </w:rPr>
        <w:footnoteRef/>
      </w:r>
      <w:r w:rsidRPr="00BD2A7A">
        <w:rPr>
          <w:rFonts w:ascii="Times New Roman" w:hAnsi="Times New Roman" w:cs="Times New Roman"/>
        </w:rPr>
        <w:t xml:space="preserve"> </w:t>
      </w:r>
      <w:r>
        <w:rPr>
          <w:rFonts w:ascii="Times New Roman" w:hAnsi="Times New Roman" w:cs="Times New Roman"/>
        </w:rPr>
        <w:t>Art. 63-3-1</w:t>
      </w:r>
      <w:r w:rsidR="00B93DC3">
        <w:rPr>
          <w:rFonts w:ascii="Times New Roman" w:hAnsi="Times New Roman" w:cs="Times New Roman"/>
        </w:rPr>
        <w:t xml:space="preserve"> CPP</w:t>
      </w:r>
      <w:r>
        <w:rPr>
          <w:rFonts w:ascii="Times New Roman" w:hAnsi="Times New Roman" w:cs="Times New Roman"/>
        </w:rPr>
        <w:t>.</w:t>
      </w:r>
    </w:p>
  </w:footnote>
  <w:footnote w:id="24">
    <w:p w:rsidR="00777F9A" w:rsidRPr="00BD2A7A" w:rsidRDefault="00777F9A" w:rsidP="00BD2A7A">
      <w:pPr>
        <w:pStyle w:val="Notedebasdepage"/>
        <w:jc w:val="both"/>
        <w:rPr>
          <w:rFonts w:ascii="Times New Roman" w:hAnsi="Times New Roman" w:cs="Times New Roman"/>
        </w:rPr>
      </w:pPr>
      <w:r w:rsidRPr="00BD2A7A">
        <w:rPr>
          <w:rStyle w:val="Appelnotedebasdep"/>
          <w:rFonts w:ascii="Times New Roman" w:hAnsi="Times New Roman" w:cs="Times New Roman"/>
        </w:rPr>
        <w:footnoteRef/>
      </w:r>
      <w:r w:rsidRPr="00BD2A7A">
        <w:rPr>
          <w:rFonts w:ascii="Times New Roman" w:hAnsi="Times New Roman" w:cs="Times New Roman"/>
        </w:rPr>
        <w:t xml:space="preserve"> </w:t>
      </w:r>
      <w:r>
        <w:rPr>
          <w:rFonts w:ascii="Times New Roman" w:hAnsi="Times New Roman" w:cs="Times New Roman"/>
        </w:rPr>
        <w:t>Art. 63-4-2</w:t>
      </w:r>
      <w:r w:rsidR="00B93DC3">
        <w:rPr>
          <w:rFonts w:ascii="Times New Roman" w:hAnsi="Times New Roman" w:cs="Times New Roman"/>
        </w:rPr>
        <w:t xml:space="preserve"> CPP</w:t>
      </w:r>
      <w:r>
        <w:rPr>
          <w:rFonts w:ascii="Times New Roman" w:hAnsi="Times New Roman" w:cs="Times New Roman"/>
        </w:rPr>
        <w:t>.</w:t>
      </w:r>
    </w:p>
  </w:footnote>
  <w:footnote w:id="25">
    <w:p w:rsidR="00777F9A" w:rsidRPr="00BD2A7A" w:rsidRDefault="00777F9A" w:rsidP="00BD2A7A">
      <w:pPr>
        <w:pStyle w:val="Notedebasdepage"/>
        <w:jc w:val="both"/>
        <w:rPr>
          <w:rFonts w:ascii="Times New Roman" w:hAnsi="Times New Roman" w:cs="Times New Roman"/>
        </w:rPr>
      </w:pPr>
      <w:r w:rsidRPr="00BD2A7A">
        <w:rPr>
          <w:rStyle w:val="Appelnotedebasdep"/>
          <w:rFonts w:ascii="Times New Roman" w:hAnsi="Times New Roman" w:cs="Times New Roman"/>
        </w:rPr>
        <w:footnoteRef/>
      </w:r>
      <w:r w:rsidRPr="00BD2A7A">
        <w:rPr>
          <w:rFonts w:ascii="Times New Roman" w:hAnsi="Times New Roman" w:cs="Times New Roman"/>
        </w:rPr>
        <w:t xml:space="preserve"> V. loi n° 91-647 du 10 juill. 1991</w:t>
      </w:r>
      <w:r>
        <w:rPr>
          <w:rFonts w:ascii="Times New Roman" w:hAnsi="Times New Roman" w:cs="Times New Roman"/>
        </w:rPr>
        <w:t>.</w:t>
      </w:r>
    </w:p>
  </w:footnote>
  <w:footnote w:id="26">
    <w:p w:rsidR="00777F9A" w:rsidRPr="00777F9A" w:rsidRDefault="00777F9A" w:rsidP="00170D17">
      <w:pPr>
        <w:pStyle w:val="Notedebasdepage"/>
        <w:jc w:val="both"/>
        <w:rPr>
          <w:rFonts w:ascii="Times New Roman" w:hAnsi="Times New Roman" w:cs="Times New Roman"/>
        </w:rPr>
      </w:pPr>
      <w:r w:rsidRPr="00777F9A">
        <w:rPr>
          <w:rStyle w:val="Appelnotedebasdep"/>
          <w:rFonts w:ascii="Times New Roman" w:hAnsi="Times New Roman" w:cs="Times New Roman"/>
        </w:rPr>
        <w:footnoteRef/>
      </w:r>
      <w:r w:rsidRPr="00777F9A">
        <w:rPr>
          <w:rFonts w:ascii="Times New Roman" w:hAnsi="Times New Roman" w:cs="Times New Roman"/>
        </w:rPr>
        <w:t xml:space="preserve"> V. encore Cass. crim., 20 sept. 2016, n° </w:t>
      </w:r>
      <w:r w:rsidRPr="00777F9A">
        <w:rPr>
          <w:rFonts w:ascii="Times New Roman" w:hAnsi="Times New Roman" w:cs="Times New Roman"/>
          <w:bCs/>
        </w:rPr>
        <w:t>16-80</w:t>
      </w:r>
      <w:r>
        <w:rPr>
          <w:rFonts w:ascii="Times New Roman" w:hAnsi="Times New Roman" w:cs="Times New Roman"/>
          <w:bCs/>
        </w:rPr>
        <w:t>.</w:t>
      </w:r>
      <w:r w:rsidRPr="00777F9A">
        <w:rPr>
          <w:rFonts w:ascii="Times New Roman" w:hAnsi="Times New Roman" w:cs="Times New Roman"/>
          <w:bCs/>
        </w:rPr>
        <w:t>820.</w:t>
      </w:r>
    </w:p>
  </w:footnote>
  <w:footnote w:id="27">
    <w:p w:rsidR="00777F9A" w:rsidRPr="00777F9A" w:rsidRDefault="00777F9A" w:rsidP="00777F9A">
      <w:pPr>
        <w:pStyle w:val="Notedebasdepage"/>
        <w:jc w:val="both"/>
        <w:rPr>
          <w:rFonts w:ascii="Times New Roman" w:hAnsi="Times New Roman" w:cs="Times New Roman"/>
        </w:rPr>
      </w:pPr>
      <w:r w:rsidRPr="00777F9A">
        <w:rPr>
          <w:rStyle w:val="Appelnotedebasdep"/>
          <w:rFonts w:ascii="Times New Roman" w:hAnsi="Times New Roman" w:cs="Times New Roman"/>
        </w:rPr>
        <w:footnoteRef/>
      </w:r>
      <w:r w:rsidRPr="00777F9A">
        <w:rPr>
          <w:rFonts w:ascii="Times New Roman" w:hAnsi="Times New Roman" w:cs="Times New Roman"/>
        </w:rPr>
        <w:t xml:space="preserve"> </w:t>
      </w:r>
      <w:r>
        <w:rPr>
          <w:rFonts w:ascii="Times New Roman" w:hAnsi="Times New Roman" w:cs="Times New Roman"/>
        </w:rPr>
        <w:t>A</w:t>
      </w:r>
      <w:r w:rsidRPr="00777F9A">
        <w:rPr>
          <w:rFonts w:ascii="Times New Roman" w:hAnsi="Times New Roman" w:cs="Times New Roman"/>
        </w:rPr>
        <w:t xml:space="preserve">rt. 84 </w:t>
      </w:r>
      <w:r>
        <w:rPr>
          <w:rFonts w:ascii="Times New Roman" w:hAnsi="Times New Roman" w:cs="Times New Roman"/>
        </w:rPr>
        <w:t>CPP</w:t>
      </w:r>
      <w:r w:rsidRPr="00777F9A">
        <w:rPr>
          <w:rFonts w:ascii="Times New Roman" w:hAnsi="Times New Roman" w:cs="Times New Roman"/>
        </w:rPr>
        <w:t xml:space="preserve">, </w:t>
      </w:r>
      <w:r w:rsidR="00AB5A4F">
        <w:rPr>
          <w:rFonts w:ascii="Times New Roman" w:hAnsi="Times New Roman" w:cs="Times New Roman"/>
        </w:rPr>
        <w:t xml:space="preserve">pour </w:t>
      </w:r>
      <w:r w:rsidRPr="00777F9A">
        <w:rPr>
          <w:rFonts w:ascii="Times New Roman" w:hAnsi="Times New Roman" w:cs="Times New Roman"/>
        </w:rPr>
        <w:t>la demande de dessaisissement du juge d’instruction ; art. 186, al. 3</w:t>
      </w:r>
      <w:r w:rsidR="00B93DC3">
        <w:rPr>
          <w:rFonts w:ascii="Times New Roman" w:hAnsi="Times New Roman" w:cs="Times New Roman"/>
        </w:rPr>
        <w:t>, CPP</w:t>
      </w:r>
      <w:r w:rsidR="00AB5A4F">
        <w:rPr>
          <w:rFonts w:ascii="Times New Roman" w:hAnsi="Times New Roman" w:cs="Times New Roman"/>
        </w:rPr>
        <w:t xml:space="preserve"> pour</w:t>
      </w:r>
      <w:r w:rsidRPr="00777F9A">
        <w:rPr>
          <w:rFonts w:ascii="Times New Roman" w:hAnsi="Times New Roman" w:cs="Times New Roman"/>
        </w:rPr>
        <w:t xml:space="preserve"> la contestation de la compétence du</w:t>
      </w:r>
      <w:r w:rsidR="00AB5A4F">
        <w:rPr>
          <w:rFonts w:ascii="Times New Roman" w:hAnsi="Times New Roman" w:cs="Times New Roman"/>
        </w:rPr>
        <w:t xml:space="preserve"> juge d’instruction ; art. 669 </w:t>
      </w:r>
      <w:r w:rsidR="00B93DC3">
        <w:rPr>
          <w:rFonts w:ascii="Times New Roman" w:hAnsi="Times New Roman" w:cs="Times New Roman"/>
        </w:rPr>
        <w:t xml:space="preserve">CPP </w:t>
      </w:r>
      <w:r w:rsidR="00AB5A4F">
        <w:rPr>
          <w:rFonts w:ascii="Times New Roman" w:hAnsi="Times New Roman" w:cs="Times New Roman"/>
        </w:rPr>
        <w:t xml:space="preserve">pour la récusation ; art. 662 </w:t>
      </w:r>
      <w:r w:rsidR="00B93DC3">
        <w:rPr>
          <w:rFonts w:ascii="Times New Roman" w:hAnsi="Times New Roman" w:cs="Times New Roman"/>
        </w:rPr>
        <w:t xml:space="preserve">CPP </w:t>
      </w:r>
      <w:r w:rsidR="00AB5A4F">
        <w:rPr>
          <w:rFonts w:ascii="Times New Roman" w:hAnsi="Times New Roman" w:cs="Times New Roman"/>
        </w:rPr>
        <w:t>pour</w:t>
      </w:r>
      <w:r w:rsidRPr="00777F9A">
        <w:rPr>
          <w:rFonts w:ascii="Times New Roman" w:hAnsi="Times New Roman" w:cs="Times New Roman"/>
        </w:rPr>
        <w:t xml:space="preserve"> </w:t>
      </w:r>
      <w:r w:rsidR="00AB5A4F">
        <w:rPr>
          <w:rFonts w:ascii="Times New Roman" w:hAnsi="Times New Roman" w:cs="Times New Roman"/>
        </w:rPr>
        <w:t xml:space="preserve">la </w:t>
      </w:r>
      <w:r w:rsidRPr="00777F9A">
        <w:rPr>
          <w:rFonts w:ascii="Times New Roman" w:hAnsi="Times New Roman" w:cs="Times New Roman"/>
        </w:rPr>
        <w:t>suspicion légitime</w:t>
      </w:r>
      <w:r w:rsidR="00AB5A4F">
        <w:rPr>
          <w:rFonts w:ascii="Times New Roman" w:hAnsi="Times New Roman" w:cs="Times New Roman"/>
        </w:rPr>
        <w:t>.</w:t>
      </w:r>
    </w:p>
  </w:footnote>
  <w:footnote w:id="28">
    <w:p w:rsidR="00777F9A" w:rsidRPr="00777F9A" w:rsidRDefault="00777F9A" w:rsidP="00777F9A">
      <w:pPr>
        <w:pStyle w:val="Notedebasdepage"/>
        <w:jc w:val="both"/>
        <w:rPr>
          <w:rFonts w:ascii="Times New Roman" w:hAnsi="Times New Roman" w:cs="Times New Roman"/>
        </w:rPr>
      </w:pPr>
      <w:r w:rsidRPr="00777F9A">
        <w:rPr>
          <w:rStyle w:val="Appelnotedebasdep"/>
          <w:rFonts w:ascii="Times New Roman" w:hAnsi="Times New Roman" w:cs="Times New Roman"/>
        </w:rPr>
        <w:footnoteRef/>
      </w:r>
      <w:r w:rsidRPr="00777F9A">
        <w:rPr>
          <w:rFonts w:ascii="Times New Roman" w:hAnsi="Times New Roman" w:cs="Times New Roman"/>
        </w:rPr>
        <w:t xml:space="preserve"> </w:t>
      </w:r>
      <w:r w:rsidR="00AB5A4F">
        <w:rPr>
          <w:rFonts w:ascii="Times New Roman" w:hAnsi="Times New Roman" w:cs="Times New Roman"/>
        </w:rPr>
        <w:t xml:space="preserve">Art. 186 et s. </w:t>
      </w:r>
      <w:r w:rsidR="00B93DC3">
        <w:rPr>
          <w:rFonts w:ascii="Times New Roman" w:hAnsi="Times New Roman" w:cs="Times New Roman"/>
        </w:rPr>
        <w:t xml:space="preserve">CPP. </w:t>
      </w:r>
      <w:r w:rsidR="00AB5A4F">
        <w:rPr>
          <w:rFonts w:ascii="Times New Roman" w:hAnsi="Times New Roman" w:cs="Times New Roman"/>
        </w:rPr>
        <w:t>V. art. 567 et s.</w:t>
      </w:r>
      <w:r w:rsidRPr="00777F9A">
        <w:rPr>
          <w:rFonts w:ascii="Times New Roman" w:hAnsi="Times New Roman" w:cs="Times New Roman"/>
        </w:rPr>
        <w:t xml:space="preserve"> </w:t>
      </w:r>
      <w:r w:rsidR="00B93DC3">
        <w:rPr>
          <w:rFonts w:ascii="Times New Roman" w:hAnsi="Times New Roman" w:cs="Times New Roman"/>
        </w:rPr>
        <w:t xml:space="preserve">CPP </w:t>
      </w:r>
      <w:r w:rsidR="00AB5A4F">
        <w:rPr>
          <w:rFonts w:ascii="Times New Roman" w:hAnsi="Times New Roman" w:cs="Times New Roman"/>
        </w:rPr>
        <w:t xml:space="preserve">pour le </w:t>
      </w:r>
      <w:r w:rsidRPr="00777F9A">
        <w:rPr>
          <w:rFonts w:ascii="Times New Roman" w:hAnsi="Times New Roman" w:cs="Times New Roman"/>
        </w:rPr>
        <w:t>pourvoi en cassation contre les arrêts rendu</w:t>
      </w:r>
      <w:r w:rsidR="00AB5A4F">
        <w:rPr>
          <w:rFonts w:ascii="Times New Roman" w:hAnsi="Times New Roman" w:cs="Times New Roman"/>
        </w:rPr>
        <w:t>s par la c</w:t>
      </w:r>
      <w:r w:rsidRPr="00777F9A">
        <w:rPr>
          <w:rFonts w:ascii="Times New Roman" w:hAnsi="Times New Roman" w:cs="Times New Roman"/>
        </w:rPr>
        <w:t>hambre de l’instruction</w:t>
      </w:r>
      <w:r w:rsidR="00AB5A4F">
        <w:rPr>
          <w:rFonts w:ascii="Times New Roman" w:hAnsi="Times New Roman" w:cs="Times New Roman"/>
        </w:rPr>
        <w:t>.</w:t>
      </w:r>
    </w:p>
  </w:footnote>
  <w:footnote w:id="29">
    <w:p w:rsidR="00777F9A" w:rsidRPr="00777F9A" w:rsidRDefault="00777F9A" w:rsidP="00777F9A">
      <w:pPr>
        <w:pStyle w:val="Notedebasdepage"/>
        <w:jc w:val="both"/>
        <w:rPr>
          <w:rFonts w:ascii="Times New Roman" w:hAnsi="Times New Roman" w:cs="Times New Roman"/>
        </w:rPr>
      </w:pPr>
      <w:r w:rsidRPr="00777F9A">
        <w:rPr>
          <w:rStyle w:val="Appelnotedebasdep"/>
          <w:rFonts w:ascii="Times New Roman" w:hAnsi="Times New Roman" w:cs="Times New Roman"/>
        </w:rPr>
        <w:footnoteRef/>
      </w:r>
      <w:r w:rsidR="00AB5A4F">
        <w:rPr>
          <w:rFonts w:ascii="Times New Roman" w:hAnsi="Times New Roman" w:cs="Times New Roman"/>
        </w:rPr>
        <w:t xml:space="preserve"> Art. 173 et 802</w:t>
      </w:r>
      <w:r w:rsidR="00B93DC3">
        <w:rPr>
          <w:rFonts w:ascii="Times New Roman" w:hAnsi="Times New Roman" w:cs="Times New Roman"/>
        </w:rPr>
        <w:t xml:space="preserve"> CPP</w:t>
      </w:r>
      <w:r w:rsidR="00AB5A4F">
        <w:rPr>
          <w:rFonts w:ascii="Times New Roman" w:hAnsi="Times New Roman" w:cs="Times New Roman"/>
        </w:rPr>
        <w:t>.</w:t>
      </w:r>
    </w:p>
  </w:footnote>
  <w:footnote w:id="30">
    <w:p w:rsidR="004B0824" w:rsidRPr="00777F9A" w:rsidRDefault="004B0824" w:rsidP="004B0824">
      <w:pPr>
        <w:pStyle w:val="Notedebasdepage"/>
        <w:jc w:val="both"/>
        <w:rPr>
          <w:rFonts w:ascii="Times New Roman" w:hAnsi="Times New Roman" w:cs="Times New Roman"/>
        </w:rPr>
      </w:pPr>
      <w:r w:rsidRPr="00777F9A">
        <w:rPr>
          <w:rStyle w:val="Appelnotedebasdep"/>
          <w:rFonts w:ascii="Times New Roman" w:hAnsi="Times New Roman" w:cs="Times New Roman"/>
        </w:rPr>
        <w:footnoteRef/>
      </w:r>
      <w:r>
        <w:rPr>
          <w:rFonts w:ascii="Times New Roman" w:hAnsi="Times New Roman" w:cs="Times New Roman"/>
        </w:rPr>
        <w:t xml:space="preserve"> A</w:t>
      </w:r>
      <w:r w:rsidRPr="00777F9A">
        <w:rPr>
          <w:rFonts w:ascii="Times New Roman" w:hAnsi="Times New Roman" w:cs="Times New Roman"/>
        </w:rPr>
        <w:t xml:space="preserve">rt. </w:t>
      </w:r>
      <w:r>
        <w:rPr>
          <w:rFonts w:ascii="Times New Roman" w:hAnsi="Times New Roman" w:cs="Times New Roman"/>
        </w:rPr>
        <w:t>81, 82-1 et 156</w:t>
      </w:r>
      <w:r w:rsidR="00B93DC3">
        <w:rPr>
          <w:rFonts w:ascii="Times New Roman" w:hAnsi="Times New Roman" w:cs="Times New Roman"/>
        </w:rPr>
        <w:t xml:space="preserve"> CPP</w:t>
      </w:r>
      <w:r>
        <w:rPr>
          <w:rFonts w:ascii="Times New Roman" w:hAnsi="Times New Roman" w:cs="Times New Roman"/>
        </w:rPr>
        <w:t>.</w:t>
      </w:r>
    </w:p>
  </w:footnote>
  <w:footnote w:id="31">
    <w:p w:rsidR="00777F9A" w:rsidRPr="008F4518" w:rsidRDefault="00777F9A" w:rsidP="008A3E1E">
      <w:pPr>
        <w:pStyle w:val="Notedebasdepage"/>
        <w:jc w:val="both"/>
        <w:rPr>
          <w:rFonts w:ascii="Times New Roman" w:hAnsi="Times New Roman" w:cs="Times New Roman"/>
        </w:rPr>
      </w:pPr>
      <w:r w:rsidRPr="008F4518">
        <w:rPr>
          <w:rStyle w:val="Appelnotedebasdep"/>
          <w:rFonts w:ascii="Times New Roman" w:hAnsi="Times New Roman" w:cs="Times New Roman"/>
        </w:rPr>
        <w:footnoteRef/>
      </w:r>
      <w:r w:rsidRPr="008F4518">
        <w:rPr>
          <w:rFonts w:ascii="Times New Roman" w:hAnsi="Times New Roman" w:cs="Times New Roman"/>
        </w:rPr>
        <w:t xml:space="preserve"> Loi n°</w:t>
      </w:r>
      <w:r w:rsidR="00B36695">
        <w:rPr>
          <w:rFonts w:ascii="Times New Roman" w:hAnsi="Times New Roman" w:cs="Times New Roman"/>
        </w:rPr>
        <w:t xml:space="preserve"> </w:t>
      </w:r>
      <w:r w:rsidRPr="008F4518">
        <w:rPr>
          <w:rFonts w:ascii="Times New Roman" w:hAnsi="Times New Roman" w:cs="Times New Roman"/>
        </w:rPr>
        <w:t xml:space="preserve">2014-535 portant transposition de la directive 2012/13/UE du Parlement européen et du Conseil, du 22 mai 2012, relative au droit à l’information dans le cadre des procédures pénales, </w:t>
      </w:r>
      <w:r w:rsidRPr="00B36695">
        <w:rPr>
          <w:rFonts w:ascii="Times New Roman" w:hAnsi="Times New Roman" w:cs="Times New Roman"/>
          <w:i/>
        </w:rPr>
        <w:t>JORF</w:t>
      </w:r>
      <w:r w:rsidRPr="008F4518">
        <w:rPr>
          <w:rFonts w:ascii="Times New Roman" w:hAnsi="Times New Roman" w:cs="Times New Roman"/>
        </w:rPr>
        <w:t xml:space="preserve"> du 28 mai 2014. Sur cette loi, v. not</w:t>
      </w:r>
      <w:r w:rsidR="00B36695">
        <w:rPr>
          <w:rFonts w:ascii="Times New Roman" w:hAnsi="Times New Roman" w:cs="Times New Roman"/>
        </w:rPr>
        <w:t>am</w:t>
      </w:r>
      <w:r w:rsidRPr="008F4518">
        <w:rPr>
          <w:rFonts w:ascii="Times New Roman" w:hAnsi="Times New Roman" w:cs="Times New Roman"/>
        </w:rPr>
        <w:t>. G. Taupiac-Nouvel et A. Botton, « La réforme du droit à l’information en p</w:t>
      </w:r>
      <w:r w:rsidR="00B36695">
        <w:rPr>
          <w:rFonts w:ascii="Times New Roman" w:hAnsi="Times New Roman" w:cs="Times New Roman"/>
        </w:rPr>
        <w:t xml:space="preserve">rocédure pénale », </w:t>
      </w:r>
      <w:r w:rsidR="00B36695" w:rsidRPr="00B36695">
        <w:rPr>
          <w:rFonts w:ascii="Times New Roman" w:hAnsi="Times New Roman" w:cs="Times New Roman"/>
          <w:i/>
        </w:rPr>
        <w:t>JCP G</w:t>
      </w:r>
      <w:r w:rsidR="00B36695">
        <w:rPr>
          <w:rFonts w:ascii="Times New Roman" w:hAnsi="Times New Roman" w:cs="Times New Roman"/>
        </w:rPr>
        <w:t xml:space="preserve"> 2014, é</w:t>
      </w:r>
      <w:r w:rsidRPr="008F4518">
        <w:rPr>
          <w:rFonts w:ascii="Times New Roman" w:hAnsi="Times New Roman" w:cs="Times New Roman"/>
        </w:rPr>
        <w:t>tude n°</w:t>
      </w:r>
      <w:r w:rsidR="00B36695">
        <w:rPr>
          <w:rFonts w:ascii="Times New Roman" w:hAnsi="Times New Roman" w:cs="Times New Roman"/>
        </w:rPr>
        <w:t xml:space="preserve"> </w:t>
      </w:r>
      <w:r w:rsidRPr="008F4518">
        <w:rPr>
          <w:rFonts w:ascii="Times New Roman" w:hAnsi="Times New Roman" w:cs="Times New Roman"/>
        </w:rPr>
        <w:t>802.</w:t>
      </w:r>
    </w:p>
  </w:footnote>
  <w:footnote w:id="32">
    <w:p w:rsidR="00777F9A" w:rsidRPr="008F4518" w:rsidRDefault="00777F9A" w:rsidP="008A3E1E">
      <w:pPr>
        <w:pStyle w:val="Notedebasdepage"/>
        <w:jc w:val="both"/>
        <w:rPr>
          <w:rFonts w:ascii="Times New Roman" w:hAnsi="Times New Roman" w:cs="Times New Roman"/>
        </w:rPr>
      </w:pPr>
      <w:r w:rsidRPr="008F4518">
        <w:rPr>
          <w:rStyle w:val="Appelnotedebasdep"/>
          <w:rFonts w:ascii="Times New Roman" w:hAnsi="Times New Roman" w:cs="Times New Roman"/>
        </w:rPr>
        <w:footnoteRef/>
      </w:r>
      <w:r w:rsidR="00B36695">
        <w:rPr>
          <w:rFonts w:ascii="Times New Roman" w:hAnsi="Times New Roman" w:cs="Times New Roman"/>
        </w:rPr>
        <w:t xml:space="preserve"> Art.</w:t>
      </w:r>
      <w:r w:rsidRPr="008F4518">
        <w:rPr>
          <w:rFonts w:ascii="Times New Roman" w:hAnsi="Times New Roman" w:cs="Times New Roman"/>
        </w:rPr>
        <w:t xml:space="preserve"> 394 </w:t>
      </w:r>
      <w:r w:rsidR="00B36695">
        <w:rPr>
          <w:rFonts w:ascii="Times New Roman" w:hAnsi="Times New Roman" w:cs="Times New Roman"/>
        </w:rPr>
        <w:t>CPP</w:t>
      </w:r>
      <w:r w:rsidRPr="008F4518">
        <w:rPr>
          <w:rFonts w:ascii="Times New Roman" w:hAnsi="Times New Roman" w:cs="Times New Roman"/>
        </w:rPr>
        <w:t>.</w:t>
      </w:r>
    </w:p>
  </w:footnote>
  <w:footnote w:id="33">
    <w:p w:rsidR="00777F9A" w:rsidRPr="008F4518" w:rsidRDefault="00777F9A" w:rsidP="008A3E1E">
      <w:pPr>
        <w:pStyle w:val="Notedebasdepage"/>
        <w:jc w:val="both"/>
        <w:rPr>
          <w:rFonts w:ascii="Times New Roman" w:hAnsi="Times New Roman" w:cs="Times New Roman"/>
        </w:rPr>
      </w:pPr>
      <w:r w:rsidRPr="008F4518">
        <w:rPr>
          <w:rStyle w:val="Appelnotedebasdep"/>
          <w:rFonts w:ascii="Times New Roman" w:hAnsi="Times New Roman" w:cs="Times New Roman"/>
        </w:rPr>
        <w:footnoteRef/>
      </w:r>
      <w:r w:rsidRPr="008F4518">
        <w:rPr>
          <w:rFonts w:ascii="Times New Roman" w:hAnsi="Times New Roman" w:cs="Times New Roman"/>
        </w:rPr>
        <w:t xml:space="preserve"> Suivant l’expression de Mme la rapporteure devant l’Assemblée nationale. V. C. Capdevielle et P. Popelin, Rapp. n°3515 fait au nom de la commission des lois de l’Assemblée nationale, p.</w:t>
      </w:r>
      <w:r w:rsidR="00B36695">
        <w:rPr>
          <w:rFonts w:ascii="Times New Roman" w:hAnsi="Times New Roman" w:cs="Times New Roman"/>
        </w:rPr>
        <w:t xml:space="preserve"> </w:t>
      </w:r>
      <w:r w:rsidRPr="008F4518">
        <w:rPr>
          <w:rFonts w:ascii="Times New Roman" w:hAnsi="Times New Roman" w:cs="Times New Roman"/>
        </w:rPr>
        <w:t>294.</w:t>
      </w:r>
    </w:p>
  </w:footnote>
  <w:footnote w:id="34">
    <w:p w:rsidR="00777F9A" w:rsidRPr="008F4518" w:rsidRDefault="00777F9A" w:rsidP="008A3E1E">
      <w:pPr>
        <w:pStyle w:val="Notedebasdepage"/>
        <w:jc w:val="both"/>
        <w:rPr>
          <w:rFonts w:ascii="Times New Roman" w:hAnsi="Times New Roman" w:cs="Times New Roman"/>
        </w:rPr>
      </w:pPr>
      <w:r w:rsidRPr="008F4518">
        <w:rPr>
          <w:rStyle w:val="Appelnotedebasdep"/>
          <w:rFonts w:ascii="Times New Roman" w:hAnsi="Times New Roman" w:cs="Times New Roman"/>
        </w:rPr>
        <w:footnoteRef/>
      </w:r>
      <w:r w:rsidR="00B36695">
        <w:rPr>
          <w:rFonts w:ascii="Times New Roman" w:hAnsi="Times New Roman" w:cs="Times New Roman"/>
        </w:rPr>
        <w:t xml:space="preserve"> Le mécanisme de l’art.</w:t>
      </w:r>
      <w:r w:rsidRPr="008F4518">
        <w:rPr>
          <w:rFonts w:ascii="Times New Roman" w:hAnsi="Times New Roman" w:cs="Times New Roman"/>
        </w:rPr>
        <w:t xml:space="preserve"> 77-2 I </w:t>
      </w:r>
      <w:r w:rsidR="00B36695">
        <w:rPr>
          <w:rFonts w:ascii="Times New Roman" w:hAnsi="Times New Roman" w:cs="Times New Roman"/>
        </w:rPr>
        <w:t>CPP</w:t>
      </w:r>
      <w:r w:rsidRPr="008F4518">
        <w:rPr>
          <w:rFonts w:ascii="Times New Roman" w:hAnsi="Times New Roman" w:cs="Times New Roman"/>
        </w:rPr>
        <w:t xml:space="preserve"> est effectivement soumis à de multiples conditions : l’infraction doit être punie d’une peine privative de liberté ; la demande d’accès au dossier peut se faire lorsque « l’enquête paraît terminée » au procureur et, au minimum, un an après l’audition libre ou la garde à vue du mis en cause ; le procureur doit envisager une citation directe ou une convocation par OPJ.</w:t>
      </w:r>
    </w:p>
  </w:footnote>
  <w:footnote w:id="35">
    <w:p w:rsidR="00777F9A" w:rsidRPr="008F4518" w:rsidRDefault="00777F9A" w:rsidP="00B36695">
      <w:pPr>
        <w:pStyle w:val="Notedebasdepage"/>
        <w:jc w:val="both"/>
        <w:rPr>
          <w:rFonts w:ascii="Times New Roman" w:hAnsi="Times New Roman" w:cs="Times New Roman"/>
        </w:rPr>
      </w:pPr>
      <w:r w:rsidRPr="008F4518">
        <w:rPr>
          <w:rStyle w:val="Appelnotedebasdep"/>
          <w:rFonts w:ascii="Times New Roman" w:hAnsi="Times New Roman" w:cs="Times New Roman"/>
        </w:rPr>
        <w:footnoteRef/>
      </w:r>
      <w:r w:rsidRPr="008F4518">
        <w:rPr>
          <w:rFonts w:ascii="Times New Roman" w:hAnsi="Times New Roman" w:cs="Times New Roman"/>
        </w:rPr>
        <w:t xml:space="preserve"> C’est-à-dire à compter de l’avis de fin d’information émis par le juge d’instruction dans les condition</w:t>
      </w:r>
      <w:r w:rsidR="00B36695">
        <w:rPr>
          <w:rFonts w:ascii="Times New Roman" w:hAnsi="Times New Roman" w:cs="Times New Roman"/>
        </w:rPr>
        <w:t>s du 1</w:t>
      </w:r>
      <w:r w:rsidR="00B36695" w:rsidRPr="00B36695">
        <w:rPr>
          <w:rFonts w:ascii="Times New Roman" w:hAnsi="Times New Roman" w:cs="Times New Roman"/>
          <w:vertAlign w:val="superscript"/>
        </w:rPr>
        <w:t>er</w:t>
      </w:r>
      <w:r w:rsidR="00B36695">
        <w:rPr>
          <w:rFonts w:ascii="Times New Roman" w:hAnsi="Times New Roman" w:cs="Times New Roman"/>
        </w:rPr>
        <w:t xml:space="preserve"> al. de l’art.</w:t>
      </w:r>
      <w:r w:rsidRPr="008F4518">
        <w:rPr>
          <w:rFonts w:ascii="Times New Roman" w:hAnsi="Times New Roman" w:cs="Times New Roman"/>
        </w:rPr>
        <w:t xml:space="preserve"> 175 </w:t>
      </w:r>
      <w:r w:rsidR="00B36695">
        <w:rPr>
          <w:rFonts w:ascii="Times New Roman" w:hAnsi="Times New Roman" w:cs="Times New Roman"/>
        </w:rPr>
        <w:t>CPP.</w:t>
      </w:r>
    </w:p>
  </w:footnote>
  <w:footnote w:id="36">
    <w:p w:rsidR="00777F9A" w:rsidRPr="008F4518" w:rsidRDefault="00777F9A" w:rsidP="008A3E1E">
      <w:pPr>
        <w:pStyle w:val="Notedebasdepage"/>
        <w:rPr>
          <w:rFonts w:ascii="Times New Roman" w:hAnsi="Times New Roman" w:cs="Times New Roman"/>
        </w:rPr>
      </w:pPr>
      <w:r w:rsidRPr="008F4518">
        <w:rPr>
          <w:rStyle w:val="Appelnotedebasdep"/>
          <w:rFonts w:ascii="Times New Roman" w:hAnsi="Times New Roman" w:cs="Times New Roman"/>
        </w:rPr>
        <w:footnoteRef/>
      </w:r>
      <w:r w:rsidRPr="008F4518">
        <w:rPr>
          <w:rFonts w:ascii="Times New Roman" w:hAnsi="Times New Roman" w:cs="Times New Roman"/>
        </w:rPr>
        <w:t xml:space="preserve"> Suivant que le mis en examen est ou non détenu.</w:t>
      </w:r>
    </w:p>
  </w:footnote>
  <w:footnote w:id="37">
    <w:p w:rsidR="00777F9A" w:rsidRPr="008F4518" w:rsidRDefault="00777F9A" w:rsidP="008A3E1E">
      <w:pPr>
        <w:pStyle w:val="Notedebasdepage"/>
        <w:rPr>
          <w:rFonts w:ascii="Times New Roman" w:hAnsi="Times New Roman" w:cs="Times New Roman"/>
        </w:rPr>
      </w:pPr>
      <w:r w:rsidRPr="008F4518">
        <w:rPr>
          <w:rStyle w:val="Appelnotedebasdep"/>
          <w:rFonts w:ascii="Times New Roman" w:hAnsi="Times New Roman" w:cs="Times New Roman"/>
        </w:rPr>
        <w:footnoteRef/>
      </w:r>
      <w:r w:rsidRPr="008F4518">
        <w:rPr>
          <w:rFonts w:ascii="Times New Roman" w:hAnsi="Times New Roman" w:cs="Times New Roman"/>
        </w:rPr>
        <w:t xml:space="preserve"> </w:t>
      </w:r>
      <w:r w:rsidRPr="008F4518">
        <w:rPr>
          <w:rFonts w:ascii="Times New Roman" w:hAnsi="Times New Roman" w:cs="Times New Roman"/>
          <w:i/>
        </w:rPr>
        <w:t>Idem</w:t>
      </w:r>
      <w:r w:rsidRPr="008F4518">
        <w:rPr>
          <w:rFonts w:ascii="Times New Roman" w:hAnsi="Times New Roman" w:cs="Times New Roman"/>
        </w:rPr>
        <w:t>.</w:t>
      </w:r>
    </w:p>
  </w:footnote>
  <w:footnote w:id="38">
    <w:p w:rsidR="00777F9A" w:rsidRPr="008F4518" w:rsidRDefault="00777F9A" w:rsidP="008A3E1E">
      <w:pPr>
        <w:pStyle w:val="Notedebasdepage"/>
        <w:rPr>
          <w:rFonts w:ascii="Times New Roman" w:hAnsi="Times New Roman" w:cs="Times New Roman"/>
        </w:rPr>
      </w:pPr>
      <w:r w:rsidRPr="008F4518">
        <w:rPr>
          <w:rStyle w:val="Appelnotedebasdep"/>
          <w:rFonts w:ascii="Times New Roman" w:hAnsi="Times New Roman" w:cs="Times New Roman"/>
        </w:rPr>
        <w:footnoteRef/>
      </w:r>
      <w:r w:rsidR="00B36695">
        <w:rPr>
          <w:rFonts w:ascii="Times New Roman" w:hAnsi="Times New Roman" w:cs="Times New Roman"/>
        </w:rPr>
        <w:t xml:space="preserve"> Art.</w:t>
      </w:r>
      <w:r w:rsidRPr="008F4518">
        <w:rPr>
          <w:rFonts w:ascii="Times New Roman" w:hAnsi="Times New Roman" w:cs="Times New Roman"/>
        </w:rPr>
        <w:t xml:space="preserve"> 186-3 </w:t>
      </w:r>
      <w:r w:rsidR="00B36695">
        <w:rPr>
          <w:rFonts w:ascii="Times New Roman" w:hAnsi="Times New Roman" w:cs="Times New Roman"/>
        </w:rPr>
        <w:t>CPP.</w:t>
      </w:r>
    </w:p>
  </w:footnote>
  <w:footnote w:id="39">
    <w:p w:rsidR="00777F9A" w:rsidRPr="008F4518" w:rsidRDefault="00777F9A" w:rsidP="008A3E1E">
      <w:pPr>
        <w:pStyle w:val="Notedebasdepage"/>
        <w:jc w:val="both"/>
        <w:rPr>
          <w:rFonts w:ascii="Times New Roman" w:hAnsi="Times New Roman" w:cs="Times New Roman"/>
        </w:rPr>
      </w:pPr>
      <w:r w:rsidRPr="008F4518">
        <w:rPr>
          <w:rStyle w:val="Appelnotedebasdep"/>
          <w:rFonts w:ascii="Times New Roman" w:hAnsi="Times New Roman" w:cs="Times New Roman"/>
        </w:rPr>
        <w:footnoteRef/>
      </w:r>
      <w:r w:rsidRPr="008F4518">
        <w:rPr>
          <w:rFonts w:ascii="Times New Roman" w:hAnsi="Times New Roman" w:cs="Times New Roman"/>
        </w:rPr>
        <w:t xml:space="preserve"> Contrairement à ce que prévoyait l’avant-projet de réforme du </w:t>
      </w:r>
      <w:r w:rsidR="00B36695">
        <w:rPr>
          <w:rFonts w:ascii="Times New Roman" w:hAnsi="Times New Roman" w:cs="Times New Roman"/>
        </w:rPr>
        <w:t>CPP</w:t>
      </w:r>
      <w:r w:rsidRPr="008F4518">
        <w:rPr>
          <w:rFonts w:ascii="Times New Roman" w:hAnsi="Times New Roman" w:cs="Times New Roman"/>
        </w:rPr>
        <w:t xml:space="preserve"> (version du 1</w:t>
      </w:r>
      <w:r w:rsidRPr="008F4518">
        <w:rPr>
          <w:rFonts w:ascii="Times New Roman" w:hAnsi="Times New Roman" w:cs="Times New Roman"/>
          <w:vertAlign w:val="superscript"/>
        </w:rPr>
        <w:t>er</w:t>
      </w:r>
      <w:r w:rsidR="00B36695">
        <w:rPr>
          <w:rFonts w:ascii="Times New Roman" w:hAnsi="Times New Roman" w:cs="Times New Roman"/>
        </w:rPr>
        <w:t xml:space="preserve"> mars 2010), dont l’art.</w:t>
      </w:r>
      <w:r w:rsidRPr="008F4518">
        <w:rPr>
          <w:rFonts w:ascii="Times New Roman" w:hAnsi="Times New Roman" w:cs="Times New Roman"/>
        </w:rPr>
        <w:t xml:space="preserve"> 341-3 du futur </w:t>
      </w:r>
      <w:r w:rsidR="00B36695">
        <w:rPr>
          <w:rFonts w:ascii="Times New Roman" w:hAnsi="Times New Roman" w:cs="Times New Roman"/>
        </w:rPr>
        <w:t>CPP</w:t>
      </w:r>
      <w:r w:rsidRPr="008F4518">
        <w:rPr>
          <w:rFonts w:ascii="Times New Roman" w:hAnsi="Times New Roman" w:cs="Times New Roman"/>
        </w:rPr>
        <w:t xml:space="preserve"> permettait de contester une décision du procureur de la République attribua</w:t>
      </w:r>
      <w:r w:rsidR="00B36695">
        <w:rPr>
          <w:rFonts w:ascii="Times New Roman" w:hAnsi="Times New Roman" w:cs="Times New Roman"/>
        </w:rPr>
        <w:t>nt la qualité de partie pénale.</w:t>
      </w:r>
    </w:p>
  </w:footnote>
  <w:footnote w:id="40">
    <w:p w:rsidR="00777F9A" w:rsidRPr="00B36695" w:rsidRDefault="00777F9A" w:rsidP="008A3E1E">
      <w:pPr>
        <w:pStyle w:val="Notedebasdepage"/>
        <w:rPr>
          <w:rFonts w:ascii="Times New Roman" w:hAnsi="Times New Roman" w:cs="Times New Roman"/>
          <w:lang w:val="en-US"/>
        </w:rPr>
      </w:pPr>
      <w:r w:rsidRPr="008F4518">
        <w:rPr>
          <w:rStyle w:val="Appelnotedebasdep"/>
          <w:rFonts w:ascii="Times New Roman" w:hAnsi="Times New Roman" w:cs="Times New Roman"/>
        </w:rPr>
        <w:footnoteRef/>
      </w:r>
      <w:r w:rsidR="00B36695" w:rsidRPr="00B36695">
        <w:rPr>
          <w:rFonts w:ascii="Times New Roman" w:hAnsi="Times New Roman" w:cs="Times New Roman"/>
          <w:lang w:val="en-US"/>
        </w:rPr>
        <w:t xml:space="preserve"> Art.</w:t>
      </w:r>
      <w:r w:rsidRPr="00B36695">
        <w:rPr>
          <w:rFonts w:ascii="Times New Roman" w:hAnsi="Times New Roman" w:cs="Times New Roman"/>
          <w:lang w:val="en-US"/>
        </w:rPr>
        <w:t xml:space="preserve"> 81-1 et 186 </w:t>
      </w:r>
      <w:r w:rsidR="00B36695" w:rsidRPr="00B36695">
        <w:rPr>
          <w:rFonts w:ascii="Times New Roman" w:hAnsi="Times New Roman" w:cs="Times New Roman"/>
          <w:lang w:val="en-US"/>
        </w:rPr>
        <w:t>CPP.</w:t>
      </w:r>
    </w:p>
  </w:footnote>
  <w:footnote w:id="41">
    <w:p w:rsidR="00777F9A" w:rsidRPr="00B36695" w:rsidRDefault="00777F9A" w:rsidP="008A3E1E">
      <w:pPr>
        <w:pStyle w:val="Notedebasdepage"/>
        <w:rPr>
          <w:rFonts w:ascii="Times New Roman" w:hAnsi="Times New Roman" w:cs="Times New Roman"/>
          <w:lang w:val="en-US"/>
        </w:rPr>
      </w:pPr>
      <w:r w:rsidRPr="008F4518">
        <w:rPr>
          <w:rStyle w:val="Appelnotedebasdep"/>
          <w:rFonts w:ascii="Times New Roman" w:hAnsi="Times New Roman" w:cs="Times New Roman"/>
        </w:rPr>
        <w:footnoteRef/>
      </w:r>
      <w:r w:rsidR="00B36695" w:rsidRPr="00B36695">
        <w:rPr>
          <w:rFonts w:ascii="Times New Roman" w:hAnsi="Times New Roman" w:cs="Times New Roman"/>
          <w:lang w:val="en-US"/>
        </w:rPr>
        <w:t xml:space="preserve"> Art.</w:t>
      </w:r>
      <w:r w:rsidRPr="00B36695">
        <w:rPr>
          <w:rFonts w:ascii="Times New Roman" w:hAnsi="Times New Roman" w:cs="Times New Roman"/>
          <w:lang w:val="en-US"/>
        </w:rPr>
        <w:t xml:space="preserve"> 186 a</w:t>
      </w:r>
      <w:r w:rsidR="00B36695" w:rsidRPr="00B36695">
        <w:rPr>
          <w:rFonts w:ascii="Times New Roman" w:hAnsi="Times New Roman" w:cs="Times New Roman"/>
          <w:lang w:val="en-US"/>
        </w:rPr>
        <w:t>l. 2 CPP</w:t>
      </w:r>
      <w:r w:rsidRPr="00B36695">
        <w:rPr>
          <w:rFonts w:ascii="Times New Roman" w:hAnsi="Times New Roman" w:cs="Times New Roman"/>
          <w:lang w:val="en-US"/>
        </w:rPr>
        <w:t>.</w:t>
      </w:r>
    </w:p>
  </w:footnote>
  <w:footnote w:id="42">
    <w:p w:rsidR="00777F9A" w:rsidRPr="008F4518" w:rsidRDefault="00777F9A" w:rsidP="008A3E1E">
      <w:pPr>
        <w:pStyle w:val="Notedebasdepage"/>
        <w:rPr>
          <w:rFonts w:ascii="Times New Roman" w:hAnsi="Times New Roman" w:cs="Times New Roman"/>
        </w:rPr>
      </w:pPr>
      <w:r w:rsidRPr="008F4518">
        <w:rPr>
          <w:rStyle w:val="Appelnotedebasdep"/>
          <w:rFonts w:ascii="Times New Roman" w:hAnsi="Times New Roman" w:cs="Times New Roman"/>
        </w:rPr>
        <w:footnoteRef/>
      </w:r>
      <w:r w:rsidR="00B36695">
        <w:rPr>
          <w:rFonts w:ascii="Times New Roman" w:hAnsi="Times New Roman" w:cs="Times New Roman"/>
        </w:rPr>
        <w:t xml:space="preserve"> Art.</w:t>
      </w:r>
      <w:r w:rsidRPr="008F4518">
        <w:rPr>
          <w:rFonts w:ascii="Times New Roman" w:hAnsi="Times New Roman" w:cs="Times New Roman"/>
        </w:rPr>
        <w:t xml:space="preserve"> </w:t>
      </w:r>
      <w:r w:rsidR="00B36695">
        <w:rPr>
          <w:rFonts w:ascii="Times New Roman" w:hAnsi="Times New Roman" w:cs="Times New Roman"/>
        </w:rPr>
        <w:t>40-3 CPP</w:t>
      </w:r>
      <w:r w:rsidRPr="008F4518">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43A"/>
    <w:rsid w:val="00000B3C"/>
    <w:rsid w:val="00001432"/>
    <w:rsid w:val="00004393"/>
    <w:rsid w:val="00014ED3"/>
    <w:rsid w:val="00016909"/>
    <w:rsid w:val="0006030D"/>
    <w:rsid w:val="00086E4B"/>
    <w:rsid w:val="00094DAB"/>
    <w:rsid w:val="000A0E92"/>
    <w:rsid w:val="000A2C8C"/>
    <w:rsid w:val="000B0EEB"/>
    <w:rsid w:val="000B7931"/>
    <w:rsid w:val="000C4213"/>
    <w:rsid w:val="000F343A"/>
    <w:rsid w:val="000F5967"/>
    <w:rsid w:val="00124519"/>
    <w:rsid w:val="0016548C"/>
    <w:rsid w:val="00170D17"/>
    <w:rsid w:val="00190641"/>
    <w:rsid w:val="00194A5D"/>
    <w:rsid w:val="001D20D7"/>
    <w:rsid w:val="001D2BD5"/>
    <w:rsid w:val="0023322B"/>
    <w:rsid w:val="00257F06"/>
    <w:rsid w:val="002732CE"/>
    <w:rsid w:val="00276266"/>
    <w:rsid w:val="002F4F73"/>
    <w:rsid w:val="00313CE6"/>
    <w:rsid w:val="0031466D"/>
    <w:rsid w:val="00341E5B"/>
    <w:rsid w:val="0035241B"/>
    <w:rsid w:val="0039381C"/>
    <w:rsid w:val="003B0CB3"/>
    <w:rsid w:val="003C0050"/>
    <w:rsid w:val="003E06C0"/>
    <w:rsid w:val="00400C42"/>
    <w:rsid w:val="00402342"/>
    <w:rsid w:val="00415E16"/>
    <w:rsid w:val="0042484C"/>
    <w:rsid w:val="004254A7"/>
    <w:rsid w:val="00445B74"/>
    <w:rsid w:val="00472572"/>
    <w:rsid w:val="00484DCA"/>
    <w:rsid w:val="00485194"/>
    <w:rsid w:val="004B0824"/>
    <w:rsid w:val="004C28F6"/>
    <w:rsid w:val="004D47D6"/>
    <w:rsid w:val="00515150"/>
    <w:rsid w:val="005416B9"/>
    <w:rsid w:val="00554A02"/>
    <w:rsid w:val="00596E7D"/>
    <w:rsid w:val="005A22E9"/>
    <w:rsid w:val="005A43E6"/>
    <w:rsid w:val="005B0C2D"/>
    <w:rsid w:val="005E686C"/>
    <w:rsid w:val="0060212C"/>
    <w:rsid w:val="006144AE"/>
    <w:rsid w:val="00632744"/>
    <w:rsid w:val="006610DA"/>
    <w:rsid w:val="00675235"/>
    <w:rsid w:val="00697EAD"/>
    <w:rsid w:val="006D4681"/>
    <w:rsid w:val="006E7FA7"/>
    <w:rsid w:val="00705210"/>
    <w:rsid w:val="00724D3E"/>
    <w:rsid w:val="0073688D"/>
    <w:rsid w:val="00744167"/>
    <w:rsid w:val="00762B53"/>
    <w:rsid w:val="00777F9A"/>
    <w:rsid w:val="00785294"/>
    <w:rsid w:val="007A1CF6"/>
    <w:rsid w:val="007B4312"/>
    <w:rsid w:val="007D57E5"/>
    <w:rsid w:val="007E7D0D"/>
    <w:rsid w:val="007F280B"/>
    <w:rsid w:val="00811F17"/>
    <w:rsid w:val="00843436"/>
    <w:rsid w:val="00854593"/>
    <w:rsid w:val="008715EB"/>
    <w:rsid w:val="008A3E1E"/>
    <w:rsid w:val="008B5F6D"/>
    <w:rsid w:val="008C1191"/>
    <w:rsid w:val="008E60EB"/>
    <w:rsid w:val="008F4518"/>
    <w:rsid w:val="00917455"/>
    <w:rsid w:val="00924BCA"/>
    <w:rsid w:val="00957326"/>
    <w:rsid w:val="00961FD0"/>
    <w:rsid w:val="009A34F4"/>
    <w:rsid w:val="00A17D35"/>
    <w:rsid w:val="00A337C0"/>
    <w:rsid w:val="00A3408D"/>
    <w:rsid w:val="00A65E84"/>
    <w:rsid w:val="00A7016D"/>
    <w:rsid w:val="00A750DE"/>
    <w:rsid w:val="00A76000"/>
    <w:rsid w:val="00A8631B"/>
    <w:rsid w:val="00AB5A4F"/>
    <w:rsid w:val="00AD4524"/>
    <w:rsid w:val="00B11E4B"/>
    <w:rsid w:val="00B32F2D"/>
    <w:rsid w:val="00B36695"/>
    <w:rsid w:val="00B44DC7"/>
    <w:rsid w:val="00B93DC3"/>
    <w:rsid w:val="00B97A68"/>
    <w:rsid w:val="00BD2A7A"/>
    <w:rsid w:val="00C06260"/>
    <w:rsid w:val="00C33F17"/>
    <w:rsid w:val="00C83152"/>
    <w:rsid w:val="00C87EB3"/>
    <w:rsid w:val="00CB0153"/>
    <w:rsid w:val="00CB0BA5"/>
    <w:rsid w:val="00CB193B"/>
    <w:rsid w:val="00CB1B99"/>
    <w:rsid w:val="00CE1938"/>
    <w:rsid w:val="00D66C0E"/>
    <w:rsid w:val="00D75E99"/>
    <w:rsid w:val="00D94E7D"/>
    <w:rsid w:val="00D96650"/>
    <w:rsid w:val="00DA0578"/>
    <w:rsid w:val="00DD444E"/>
    <w:rsid w:val="00DD501E"/>
    <w:rsid w:val="00DD6AC6"/>
    <w:rsid w:val="00DD79EF"/>
    <w:rsid w:val="00DE0649"/>
    <w:rsid w:val="00DE24FE"/>
    <w:rsid w:val="00DE48FC"/>
    <w:rsid w:val="00DF44ED"/>
    <w:rsid w:val="00E15A5F"/>
    <w:rsid w:val="00E4204C"/>
    <w:rsid w:val="00E6358F"/>
    <w:rsid w:val="00E75896"/>
    <w:rsid w:val="00EB697F"/>
    <w:rsid w:val="00EC3FD1"/>
    <w:rsid w:val="00ED5433"/>
    <w:rsid w:val="00EE46DD"/>
    <w:rsid w:val="00EE6927"/>
    <w:rsid w:val="00F019FA"/>
    <w:rsid w:val="00F2721F"/>
    <w:rsid w:val="00F30A9F"/>
    <w:rsid w:val="00FA30D8"/>
    <w:rsid w:val="00FB2D30"/>
    <w:rsid w:val="00FD30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14ED3"/>
    <w:pPr>
      <w:tabs>
        <w:tab w:val="center" w:pos="4536"/>
        <w:tab w:val="right" w:pos="9072"/>
      </w:tabs>
      <w:spacing w:after="0" w:line="240" w:lineRule="auto"/>
    </w:pPr>
  </w:style>
  <w:style w:type="character" w:customStyle="1" w:styleId="En-tteCar">
    <w:name w:val="En-tête Car"/>
    <w:basedOn w:val="Policepardfaut"/>
    <w:link w:val="En-tte"/>
    <w:uiPriority w:val="99"/>
    <w:rsid w:val="00014ED3"/>
  </w:style>
  <w:style w:type="paragraph" w:styleId="Pieddepage">
    <w:name w:val="footer"/>
    <w:basedOn w:val="Normal"/>
    <w:link w:val="PieddepageCar"/>
    <w:uiPriority w:val="99"/>
    <w:unhideWhenUsed/>
    <w:rsid w:val="00014ED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4ED3"/>
  </w:style>
  <w:style w:type="paragraph" w:styleId="Notedebasdepage">
    <w:name w:val="footnote text"/>
    <w:basedOn w:val="Normal"/>
    <w:link w:val="NotedebasdepageCar"/>
    <w:uiPriority w:val="99"/>
    <w:semiHidden/>
    <w:unhideWhenUsed/>
    <w:rsid w:val="00EB697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B697F"/>
    <w:rPr>
      <w:sz w:val="20"/>
      <w:szCs w:val="20"/>
    </w:rPr>
  </w:style>
  <w:style w:type="character" w:styleId="Appelnotedebasdep">
    <w:name w:val="footnote reference"/>
    <w:basedOn w:val="Policepardfaut"/>
    <w:unhideWhenUsed/>
    <w:rsid w:val="00EB697F"/>
    <w:rPr>
      <w:vertAlign w:val="superscript"/>
    </w:rPr>
  </w:style>
  <w:style w:type="character" w:styleId="Lienhypertexte">
    <w:name w:val="Hyperlink"/>
    <w:basedOn w:val="Policepardfaut"/>
    <w:uiPriority w:val="99"/>
    <w:unhideWhenUsed/>
    <w:rsid w:val="00EB697F"/>
    <w:rPr>
      <w:color w:val="0000FF" w:themeColor="hyperlink"/>
      <w:u w:val="single"/>
    </w:rPr>
  </w:style>
  <w:style w:type="paragraph" w:styleId="NormalWeb">
    <w:name w:val="Normal (Web)"/>
    <w:basedOn w:val="Normal"/>
    <w:uiPriority w:val="99"/>
    <w:semiHidden/>
    <w:unhideWhenUsed/>
    <w:rsid w:val="00DD444E"/>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14ED3"/>
    <w:pPr>
      <w:tabs>
        <w:tab w:val="center" w:pos="4536"/>
        <w:tab w:val="right" w:pos="9072"/>
      </w:tabs>
      <w:spacing w:after="0" w:line="240" w:lineRule="auto"/>
    </w:pPr>
  </w:style>
  <w:style w:type="character" w:customStyle="1" w:styleId="En-tteCar">
    <w:name w:val="En-tête Car"/>
    <w:basedOn w:val="Policepardfaut"/>
    <w:link w:val="En-tte"/>
    <w:uiPriority w:val="99"/>
    <w:rsid w:val="00014ED3"/>
  </w:style>
  <w:style w:type="paragraph" w:styleId="Pieddepage">
    <w:name w:val="footer"/>
    <w:basedOn w:val="Normal"/>
    <w:link w:val="PieddepageCar"/>
    <w:uiPriority w:val="99"/>
    <w:unhideWhenUsed/>
    <w:rsid w:val="00014ED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4ED3"/>
  </w:style>
  <w:style w:type="paragraph" w:styleId="Notedebasdepage">
    <w:name w:val="footnote text"/>
    <w:basedOn w:val="Normal"/>
    <w:link w:val="NotedebasdepageCar"/>
    <w:uiPriority w:val="99"/>
    <w:semiHidden/>
    <w:unhideWhenUsed/>
    <w:rsid w:val="00EB697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B697F"/>
    <w:rPr>
      <w:sz w:val="20"/>
      <w:szCs w:val="20"/>
    </w:rPr>
  </w:style>
  <w:style w:type="character" w:styleId="Appelnotedebasdep">
    <w:name w:val="footnote reference"/>
    <w:basedOn w:val="Policepardfaut"/>
    <w:unhideWhenUsed/>
    <w:rsid w:val="00EB697F"/>
    <w:rPr>
      <w:vertAlign w:val="superscript"/>
    </w:rPr>
  </w:style>
  <w:style w:type="character" w:styleId="Lienhypertexte">
    <w:name w:val="Hyperlink"/>
    <w:basedOn w:val="Policepardfaut"/>
    <w:uiPriority w:val="99"/>
    <w:unhideWhenUsed/>
    <w:rsid w:val="00EB697F"/>
    <w:rPr>
      <w:color w:val="0000FF" w:themeColor="hyperlink"/>
      <w:u w:val="single"/>
    </w:rPr>
  </w:style>
  <w:style w:type="paragraph" w:styleId="NormalWeb">
    <w:name w:val="Normal (Web)"/>
    <w:basedOn w:val="Normal"/>
    <w:uiPriority w:val="99"/>
    <w:semiHidden/>
    <w:unhideWhenUsed/>
    <w:rsid w:val="00DD444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34122">
      <w:bodyDiv w:val="1"/>
      <w:marLeft w:val="0"/>
      <w:marRight w:val="0"/>
      <w:marTop w:val="0"/>
      <w:marBottom w:val="0"/>
      <w:divBdr>
        <w:top w:val="none" w:sz="0" w:space="0" w:color="auto"/>
        <w:left w:val="none" w:sz="0" w:space="0" w:color="auto"/>
        <w:bottom w:val="none" w:sz="0" w:space="0" w:color="auto"/>
        <w:right w:val="none" w:sz="0" w:space="0" w:color="auto"/>
      </w:divBdr>
    </w:div>
    <w:div w:id="99179622">
      <w:bodyDiv w:val="1"/>
      <w:marLeft w:val="0"/>
      <w:marRight w:val="0"/>
      <w:marTop w:val="0"/>
      <w:marBottom w:val="0"/>
      <w:divBdr>
        <w:top w:val="none" w:sz="0" w:space="0" w:color="auto"/>
        <w:left w:val="none" w:sz="0" w:space="0" w:color="auto"/>
        <w:bottom w:val="none" w:sz="0" w:space="0" w:color="auto"/>
        <w:right w:val="none" w:sz="0" w:space="0" w:color="auto"/>
      </w:divBdr>
    </w:div>
    <w:div w:id="118307836">
      <w:bodyDiv w:val="1"/>
      <w:marLeft w:val="0"/>
      <w:marRight w:val="0"/>
      <w:marTop w:val="0"/>
      <w:marBottom w:val="0"/>
      <w:divBdr>
        <w:top w:val="none" w:sz="0" w:space="0" w:color="auto"/>
        <w:left w:val="none" w:sz="0" w:space="0" w:color="auto"/>
        <w:bottom w:val="none" w:sz="0" w:space="0" w:color="auto"/>
        <w:right w:val="none" w:sz="0" w:space="0" w:color="auto"/>
      </w:divBdr>
    </w:div>
    <w:div w:id="158891240">
      <w:bodyDiv w:val="1"/>
      <w:marLeft w:val="0"/>
      <w:marRight w:val="0"/>
      <w:marTop w:val="0"/>
      <w:marBottom w:val="0"/>
      <w:divBdr>
        <w:top w:val="none" w:sz="0" w:space="0" w:color="auto"/>
        <w:left w:val="none" w:sz="0" w:space="0" w:color="auto"/>
        <w:bottom w:val="none" w:sz="0" w:space="0" w:color="auto"/>
        <w:right w:val="none" w:sz="0" w:space="0" w:color="auto"/>
      </w:divBdr>
    </w:div>
    <w:div w:id="299850122">
      <w:bodyDiv w:val="1"/>
      <w:marLeft w:val="0"/>
      <w:marRight w:val="0"/>
      <w:marTop w:val="0"/>
      <w:marBottom w:val="0"/>
      <w:divBdr>
        <w:top w:val="none" w:sz="0" w:space="0" w:color="auto"/>
        <w:left w:val="none" w:sz="0" w:space="0" w:color="auto"/>
        <w:bottom w:val="none" w:sz="0" w:space="0" w:color="auto"/>
        <w:right w:val="none" w:sz="0" w:space="0" w:color="auto"/>
      </w:divBdr>
      <w:divsChild>
        <w:div w:id="1495534063">
          <w:marLeft w:val="0"/>
          <w:marRight w:val="0"/>
          <w:marTop w:val="0"/>
          <w:marBottom w:val="0"/>
          <w:divBdr>
            <w:top w:val="none" w:sz="0" w:space="0" w:color="auto"/>
            <w:left w:val="none" w:sz="0" w:space="0" w:color="auto"/>
            <w:bottom w:val="none" w:sz="0" w:space="0" w:color="auto"/>
            <w:right w:val="none" w:sz="0" w:space="0" w:color="auto"/>
          </w:divBdr>
        </w:div>
      </w:divsChild>
    </w:div>
    <w:div w:id="480198796">
      <w:bodyDiv w:val="1"/>
      <w:marLeft w:val="0"/>
      <w:marRight w:val="0"/>
      <w:marTop w:val="0"/>
      <w:marBottom w:val="0"/>
      <w:divBdr>
        <w:top w:val="none" w:sz="0" w:space="0" w:color="auto"/>
        <w:left w:val="none" w:sz="0" w:space="0" w:color="auto"/>
        <w:bottom w:val="none" w:sz="0" w:space="0" w:color="auto"/>
        <w:right w:val="none" w:sz="0" w:space="0" w:color="auto"/>
      </w:divBdr>
    </w:div>
    <w:div w:id="536503677">
      <w:bodyDiv w:val="1"/>
      <w:marLeft w:val="0"/>
      <w:marRight w:val="0"/>
      <w:marTop w:val="0"/>
      <w:marBottom w:val="0"/>
      <w:divBdr>
        <w:top w:val="none" w:sz="0" w:space="0" w:color="auto"/>
        <w:left w:val="none" w:sz="0" w:space="0" w:color="auto"/>
        <w:bottom w:val="none" w:sz="0" w:space="0" w:color="auto"/>
        <w:right w:val="none" w:sz="0" w:space="0" w:color="auto"/>
      </w:divBdr>
    </w:div>
    <w:div w:id="591625025">
      <w:bodyDiv w:val="1"/>
      <w:marLeft w:val="0"/>
      <w:marRight w:val="0"/>
      <w:marTop w:val="0"/>
      <w:marBottom w:val="0"/>
      <w:divBdr>
        <w:top w:val="none" w:sz="0" w:space="0" w:color="auto"/>
        <w:left w:val="none" w:sz="0" w:space="0" w:color="auto"/>
        <w:bottom w:val="none" w:sz="0" w:space="0" w:color="auto"/>
        <w:right w:val="none" w:sz="0" w:space="0" w:color="auto"/>
      </w:divBdr>
    </w:div>
    <w:div w:id="692271803">
      <w:bodyDiv w:val="1"/>
      <w:marLeft w:val="0"/>
      <w:marRight w:val="0"/>
      <w:marTop w:val="0"/>
      <w:marBottom w:val="0"/>
      <w:divBdr>
        <w:top w:val="none" w:sz="0" w:space="0" w:color="auto"/>
        <w:left w:val="none" w:sz="0" w:space="0" w:color="auto"/>
        <w:bottom w:val="none" w:sz="0" w:space="0" w:color="auto"/>
        <w:right w:val="none" w:sz="0" w:space="0" w:color="auto"/>
      </w:divBdr>
    </w:div>
    <w:div w:id="887837735">
      <w:bodyDiv w:val="1"/>
      <w:marLeft w:val="0"/>
      <w:marRight w:val="0"/>
      <w:marTop w:val="0"/>
      <w:marBottom w:val="0"/>
      <w:divBdr>
        <w:top w:val="none" w:sz="0" w:space="0" w:color="auto"/>
        <w:left w:val="none" w:sz="0" w:space="0" w:color="auto"/>
        <w:bottom w:val="none" w:sz="0" w:space="0" w:color="auto"/>
        <w:right w:val="none" w:sz="0" w:space="0" w:color="auto"/>
      </w:divBdr>
    </w:div>
    <w:div w:id="909274569">
      <w:bodyDiv w:val="1"/>
      <w:marLeft w:val="0"/>
      <w:marRight w:val="0"/>
      <w:marTop w:val="0"/>
      <w:marBottom w:val="0"/>
      <w:divBdr>
        <w:top w:val="none" w:sz="0" w:space="0" w:color="auto"/>
        <w:left w:val="none" w:sz="0" w:space="0" w:color="auto"/>
        <w:bottom w:val="none" w:sz="0" w:space="0" w:color="auto"/>
        <w:right w:val="none" w:sz="0" w:space="0" w:color="auto"/>
      </w:divBdr>
    </w:div>
    <w:div w:id="1147940371">
      <w:bodyDiv w:val="1"/>
      <w:marLeft w:val="0"/>
      <w:marRight w:val="0"/>
      <w:marTop w:val="0"/>
      <w:marBottom w:val="0"/>
      <w:divBdr>
        <w:top w:val="none" w:sz="0" w:space="0" w:color="auto"/>
        <w:left w:val="none" w:sz="0" w:space="0" w:color="auto"/>
        <w:bottom w:val="none" w:sz="0" w:space="0" w:color="auto"/>
        <w:right w:val="none" w:sz="0" w:space="0" w:color="auto"/>
      </w:divBdr>
    </w:div>
    <w:div w:id="1187478672">
      <w:bodyDiv w:val="1"/>
      <w:marLeft w:val="0"/>
      <w:marRight w:val="0"/>
      <w:marTop w:val="0"/>
      <w:marBottom w:val="0"/>
      <w:divBdr>
        <w:top w:val="none" w:sz="0" w:space="0" w:color="auto"/>
        <w:left w:val="none" w:sz="0" w:space="0" w:color="auto"/>
        <w:bottom w:val="none" w:sz="0" w:space="0" w:color="auto"/>
        <w:right w:val="none" w:sz="0" w:space="0" w:color="auto"/>
      </w:divBdr>
    </w:div>
    <w:div w:id="1208179661">
      <w:bodyDiv w:val="1"/>
      <w:marLeft w:val="0"/>
      <w:marRight w:val="0"/>
      <w:marTop w:val="0"/>
      <w:marBottom w:val="0"/>
      <w:divBdr>
        <w:top w:val="none" w:sz="0" w:space="0" w:color="auto"/>
        <w:left w:val="none" w:sz="0" w:space="0" w:color="auto"/>
        <w:bottom w:val="none" w:sz="0" w:space="0" w:color="auto"/>
        <w:right w:val="none" w:sz="0" w:space="0" w:color="auto"/>
      </w:divBdr>
    </w:div>
    <w:div w:id="1381250236">
      <w:bodyDiv w:val="1"/>
      <w:marLeft w:val="0"/>
      <w:marRight w:val="0"/>
      <w:marTop w:val="0"/>
      <w:marBottom w:val="0"/>
      <w:divBdr>
        <w:top w:val="none" w:sz="0" w:space="0" w:color="auto"/>
        <w:left w:val="none" w:sz="0" w:space="0" w:color="auto"/>
        <w:bottom w:val="none" w:sz="0" w:space="0" w:color="auto"/>
        <w:right w:val="none" w:sz="0" w:space="0" w:color="auto"/>
      </w:divBdr>
      <w:divsChild>
        <w:div w:id="2031831584">
          <w:marLeft w:val="0"/>
          <w:marRight w:val="0"/>
          <w:marTop w:val="0"/>
          <w:marBottom w:val="0"/>
          <w:divBdr>
            <w:top w:val="none" w:sz="0" w:space="0" w:color="auto"/>
            <w:left w:val="none" w:sz="0" w:space="0" w:color="auto"/>
            <w:bottom w:val="none" w:sz="0" w:space="0" w:color="auto"/>
            <w:right w:val="none" w:sz="0" w:space="0" w:color="auto"/>
          </w:divBdr>
        </w:div>
      </w:divsChild>
    </w:div>
    <w:div w:id="1441142284">
      <w:bodyDiv w:val="1"/>
      <w:marLeft w:val="0"/>
      <w:marRight w:val="0"/>
      <w:marTop w:val="0"/>
      <w:marBottom w:val="0"/>
      <w:divBdr>
        <w:top w:val="none" w:sz="0" w:space="0" w:color="auto"/>
        <w:left w:val="none" w:sz="0" w:space="0" w:color="auto"/>
        <w:bottom w:val="none" w:sz="0" w:space="0" w:color="auto"/>
        <w:right w:val="none" w:sz="0" w:space="0" w:color="auto"/>
      </w:divBdr>
    </w:div>
    <w:div w:id="1650280336">
      <w:bodyDiv w:val="1"/>
      <w:marLeft w:val="0"/>
      <w:marRight w:val="0"/>
      <w:marTop w:val="0"/>
      <w:marBottom w:val="0"/>
      <w:divBdr>
        <w:top w:val="none" w:sz="0" w:space="0" w:color="auto"/>
        <w:left w:val="none" w:sz="0" w:space="0" w:color="auto"/>
        <w:bottom w:val="none" w:sz="0" w:space="0" w:color="auto"/>
        <w:right w:val="none" w:sz="0" w:space="0" w:color="auto"/>
      </w:divBdr>
    </w:div>
    <w:div w:id="1841046047">
      <w:bodyDiv w:val="1"/>
      <w:marLeft w:val="0"/>
      <w:marRight w:val="0"/>
      <w:marTop w:val="0"/>
      <w:marBottom w:val="0"/>
      <w:divBdr>
        <w:top w:val="none" w:sz="0" w:space="0" w:color="auto"/>
        <w:left w:val="none" w:sz="0" w:space="0" w:color="auto"/>
        <w:bottom w:val="none" w:sz="0" w:space="0" w:color="auto"/>
        <w:right w:val="none" w:sz="0" w:space="0" w:color="auto"/>
      </w:divBdr>
    </w:div>
    <w:div w:id="1912351723">
      <w:bodyDiv w:val="1"/>
      <w:marLeft w:val="0"/>
      <w:marRight w:val="0"/>
      <w:marTop w:val="0"/>
      <w:marBottom w:val="0"/>
      <w:divBdr>
        <w:top w:val="none" w:sz="0" w:space="0" w:color="auto"/>
        <w:left w:val="none" w:sz="0" w:space="0" w:color="auto"/>
        <w:bottom w:val="none" w:sz="0" w:space="0" w:color="auto"/>
        <w:right w:val="none" w:sz="0" w:space="0" w:color="auto"/>
      </w:divBdr>
    </w:div>
    <w:div w:id="2064476258">
      <w:bodyDiv w:val="1"/>
      <w:marLeft w:val="0"/>
      <w:marRight w:val="0"/>
      <w:marTop w:val="0"/>
      <w:marBottom w:val="0"/>
      <w:divBdr>
        <w:top w:val="none" w:sz="0" w:space="0" w:color="auto"/>
        <w:left w:val="none" w:sz="0" w:space="0" w:color="auto"/>
        <w:bottom w:val="none" w:sz="0" w:space="0" w:color="auto"/>
        <w:right w:val="none" w:sz="0" w:space="0" w:color="auto"/>
      </w:divBdr>
    </w:div>
    <w:div w:id="212075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51A9A-2384-4543-BE83-DA695E7FA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3120</Words>
  <Characters>17163</Characters>
  <Application>Microsoft Office Word</Application>
  <DocSecurity>4</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UT1</Company>
  <LinksUpToDate>false</LinksUpToDate>
  <CharactersWithSpaces>20243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 Beaussonie</dc:creator>
  <cp:lastModifiedBy>nnies</cp:lastModifiedBy>
  <cp:revision>2</cp:revision>
  <dcterms:created xsi:type="dcterms:W3CDTF">2017-10-10T08:01:00Z</dcterms:created>
  <dcterms:modified xsi:type="dcterms:W3CDTF">2017-10-10T08:01:00Z</dcterms:modified>
</cp:coreProperties>
</file>