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272" w:rsidRDefault="000D1194">
      <w:pPr>
        <w:pStyle w:val="Standard"/>
        <w:jc w:val="center"/>
      </w:pPr>
      <w:bookmarkStart w:id="0" w:name="_GoBack"/>
      <w:bookmarkEnd w:id="0"/>
      <w:r>
        <w:rPr>
          <w:b/>
          <w:bCs/>
        </w:rPr>
        <w:t>La République de Maurice, du formel au substantiel : d’un modèle à l’autre</w:t>
      </w:r>
    </w:p>
    <w:p w:rsidR="002A1272" w:rsidRDefault="002A1272">
      <w:pPr>
        <w:pStyle w:val="Standard"/>
      </w:pPr>
    </w:p>
    <w:p w:rsidR="002A1272" w:rsidRDefault="002A1272">
      <w:pPr>
        <w:pStyle w:val="Standard"/>
      </w:pPr>
    </w:p>
    <w:p w:rsidR="002A1272" w:rsidRDefault="000D1194">
      <w:pPr>
        <w:pStyle w:val="Standard"/>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w:t>
      </w:r>
      <w:r>
        <w:rPr>
          <w:sz w:val="20"/>
          <w:szCs w:val="20"/>
        </w:rPr>
        <w:t>Le 12 mars 1968, un nouveau nom que peu connaissaient jusque-là est apparu sur la liste des États indépendants : l’île Maurice, ancienne colonie britannique »</w:t>
      </w:r>
      <w:r>
        <w:rPr>
          <w:sz w:val="20"/>
          <w:szCs w:val="20"/>
          <w:vertAlign w:val="superscript"/>
        </w:rPr>
        <w:footnoteReference w:id="2"/>
      </w:r>
    </w:p>
    <w:p w:rsidR="002A1272" w:rsidRDefault="002A1272">
      <w:pPr>
        <w:pStyle w:val="Standard"/>
      </w:pPr>
    </w:p>
    <w:p w:rsidR="002A1272" w:rsidRDefault="002A1272">
      <w:pPr>
        <w:pStyle w:val="Standard"/>
      </w:pPr>
    </w:p>
    <w:p w:rsidR="002A1272" w:rsidRDefault="000D1194">
      <w:pPr>
        <w:pStyle w:val="Standard"/>
        <w:jc w:val="center"/>
      </w:pPr>
      <w:r>
        <w:t xml:space="preserve">Didier </w:t>
      </w:r>
      <w:r>
        <w:t>Blanc</w:t>
      </w:r>
    </w:p>
    <w:p w:rsidR="002A1272" w:rsidRDefault="000D1194">
      <w:pPr>
        <w:pStyle w:val="Standard"/>
        <w:jc w:val="center"/>
      </w:pPr>
      <w:r>
        <w:t>Professeur de droit public</w:t>
      </w:r>
    </w:p>
    <w:p w:rsidR="002A1272" w:rsidRDefault="000D1194">
      <w:pPr>
        <w:pStyle w:val="Standard"/>
        <w:jc w:val="center"/>
      </w:pPr>
      <w:r>
        <w:t>Université de La Réunion</w:t>
      </w:r>
    </w:p>
    <w:p w:rsidR="002A1272" w:rsidRDefault="002A1272">
      <w:pPr>
        <w:pStyle w:val="Standard"/>
        <w:jc w:val="both"/>
      </w:pPr>
    </w:p>
    <w:p w:rsidR="002A1272" w:rsidRDefault="002A1272">
      <w:pPr>
        <w:pStyle w:val="Standard"/>
        <w:jc w:val="both"/>
      </w:pPr>
    </w:p>
    <w:p w:rsidR="002A1272" w:rsidRDefault="002A1272">
      <w:pPr>
        <w:pStyle w:val="Standard"/>
        <w:jc w:val="both"/>
      </w:pPr>
    </w:p>
    <w:p w:rsidR="002A1272" w:rsidRDefault="002A1272">
      <w:pPr>
        <w:pStyle w:val="Standard"/>
        <w:jc w:val="both"/>
      </w:pPr>
    </w:p>
    <w:p w:rsidR="002A1272" w:rsidRDefault="000D1194">
      <w:pPr>
        <w:pStyle w:val="Standard"/>
        <w:jc w:val="both"/>
      </w:pPr>
      <w:r>
        <w:tab/>
        <w:t xml:space="preserve">La Constitution du 12 mars 1958 </w:t>
      </w:r>
      <w:r>
        <w:t>à la suite de la révision constitutionnelle en vigueur au 12 mars 1992</w:t>
      </w:r>
      <w:r>
        <w:rPr>
          <w:vertAlign w:val="superscript"/>
        </w:rPr>
        <w:footnoteReference w:id="3"/>
      </w:r>
      <w:r>
        <w:t>, au jour de son vingt-quatrième anniversaire, s'ouvre sur un article 1er posant que : « M</w:t>
      </w:r>
      <w:r>
        <w:t>aurice est un État souverain et démocratique dénommé République de Maurice ». L'affirmation principielle de la souveraineté, caractère distinctif de l'Etat ne surprend guère, pas plus que ses aspirations démocratiques tant elles forgent la règle commune da</w:t>
      </w:r>
      <w:r>
        <w:t>ns un monde où les vastes empires coloniaux occidentaux laissent place aux indépendances nationales, manifestation tangible d'une liberté des peuples à disposer librement d'eux-mêmes. De la possession de l’île par la Hollande, suivie par la France puis enf</w:t>
      </w:r>
      <w:r>
        <w:t>in par la Couronne britannique, Maurice a connu un long processus se refermant dans sa dernière période par le passage en 1948 de l’autonomie interne à l’indépendance en 1968</w:t>
      </w:r>
      <w:r>
        <w:rPr>
          <w:vertAlign w:val="superscript"/>
        </w:rPr>
        <w:footnoteReference w:id="4"/>
      </w:r>
      <w:r>
        <w:t>. Ces vingt années charnières dans l’histoire mauricienne furent marquées par plu</w:t>
      </w:r>
      <w:r>
        <w:t>sieurs étapes conduisant à l’indépendance après que son principe fut votée le 21 août 1967 par l’assemblée élue à la suite d’élections générales tenues le 7 août 1967</w:t>
      </w:r>
      <w:r>
        <w:rPr>
          <w:vertAlign w:val="superscript"/>
        </w:rPr>
        <w:footnoteReference w:id="5"/>
      </w:r>
      <w:r>
        <w:t>. La Constitution promulguée le 12 mars 1968 par le Mauritius Independence Order</w:t>
      </w:r>
      <w:r>
        <w:rPr>
          <w:vertAlign w:val="superscript"/>
        </w:rPr>
        <w:footnoteReference w:id="6"/>
      </w:r>
      <w:r>
        <w:t>, est mu</w:t>
      </w:r>
      <w:r>
        <w:t>ette quant à la forme du nouveau régime, ce silence a pu être vu comme la manifestation d’une résurgence coloniale, contaminant au-delà l’ensemble du nouveau texte</w:t>
      </w:r>
      <w:r>
        <w:rPr>
          <w:vertAlign w:val="superscript"/>
        </w:rPr>
        <w:footnoteReference w:id="7"/>
      </w:r>
      <w:r>
        <w:t>. Quoi qu’il en soit, la République n’est pas contemporaine de l’indépendance, la Constituti</w:t>
      </w:r>
      <w:r>
        <w:t>on mauricienne est un legs du régime britannique, « octroyée par l’« ancienne puissance coloniale »</w:t>
      </w:r>
      <w:r>
        <w:rPr>
          <w:vertAlign w:val="superscript"/>
        </w:rPr>
        <w:footnoteReference w:id="8"/>
      </w:r>
      <w:r>
        <w:t>, si bien qu’il est permis de parler de seconde naissance à propos de l’instauration de la République. A l’instar de plusieurs territoires ayant quitté le g</w:t>
      </w:r>
      <w:r>
        <w:t xml:space="preserve">iron de la Couronne Britannique, l’île Maurice a finalement choisi la forme républicaine du gouvernement comme vecteur de son indépendance, c’est-à-dire </w:t>
      </w:r>
      <w:r>
        <w:rPr>
          <w:i/>
          <w:iCs/>
        </w:rPr>
        <w:t>a minima</w:t>
      </w:r>
      <w:r>
        <w:t xml:space="preserve"> un régime politique et constitutionnel dans lequel la dévolution du pouvoir ne relève pas de l</w:t>
      </w:r>
      <w:r>
        <w:t>’hérédité.</w:t>
      </w:r>
    </w:p>
    <w:p w:rsidR="002A1272" w:rsidRDefault="002A1272">
      <w:pPr>
        <w:pStyle w:val="Standard"/>
        <w:jc w:val="both"/>
      </w:pPr>
    </w:p>
    <w:p w:rsidR="002A1272" w:rsidRDefault="000D1194">
      <w:pPr>
        <w:pStyle w:val="Standard"/>
        <w:jc w:val="both"/>
      </w:pPr>
      <w:r>
        <w:tab/>
      </w:r>
      <w:r>
        <w:t>Il ne s'agit pas ici de retracer le passage d'un état à l'Etat</w:t>
      </w:r>
      <w:r>
        <w:rPr>
          <w:vertAlign w:val="superscript"/>
        </w:rPr>
        <w:footnoteReference w:id="9"/>
      </w:r>
      <w:r>
        <w:t xml:space="preserve"> mais de souligner la puissance du modèle républicain dans le constitutionnalisme contemporain. Depuis plus de deux siècles, la </w:t>
      </w:r>
      <w:r>
        <w:lastRenderedPageBreak/>
        <w:t>République - qu'elle soit rêvée ou mythifiée importe</w:t>
      </w:r>
      <w:r>
        <w:t xml:space="preserve"> peu -, quels qu’en soient les contours et atours, opère une attraction à la fois à la faveur de changements politiques et juridiques internes à l'Etat et comme c'est le cas s'agissant de Maurice dans un processus de décolonisation sur le temps long. Excep</w:t>
      </w:r>
      <w:r>
        <w:t>tionnelles sont les transformations constitutionnelles débouchant sur un régime dynastique faute de définitions plus précises tant la réalité de l'exercice du pouvoir est spécifique</w:t>
      </w:r>
      <w:r>
        <w:rPr>
          <w:vertAlign w:val="superscript"/>
        </w:rPr>
        <w:footnoteReference w:id="10"/>
      </w:r>
      <w:r>
        <w:t xml:space="preserve"> ou sur une monarchie constitutionnelle établie par le retour ou l'install</w:t>
      </w:r>
      <w:r>
        <w:t>ation d'une famille régnante ; de là à considérer que la République est la forme ultime et achevée du gouvernement des Hommes... En tout état de cause, est donné corps au point de vue des constitutions « républicaines », se considérant comme le stade suprê</w:t>
      </w:r>
      <w:r>
        <w:t>me et ultime de l’évolution des régimes politiques.</w:t>
      </w:r>
    </w:p>
    <w:p w:rsidR="002A1272" w:rsidRDefault="002A1272">
      <w:pPr>
        <w:pStyle w:val="Standard"/>
        <w:jc w:val="both"/>
      </w:pPr>
    </w:p>
    <w:p w:rsidR="002A1272" w:rsidRDefault="000D1194">
      <w:pPr>
        <w:pStyle w:val="Standard"/>
        <w:jc w:val="both"/>
      </w:pPr>
      <w:r>
        <w:tab/>
        <w:t>Ce mouvement est ancien et pour l'essentiel univoque, il puise ses racines dans l'Antiquit</w:t>
      </w:r>
      <w:r>
        <w:t>é, Athènes et Rome chassent des royautés archaïques et jettent les bases respectivement de la Démocratie et de l</w:t>
      </w:r>
      <w:r>
        <w:t>a République qu'on se gardera toutefois de rapprocher des notions que recouvrent ces termes dans le droit constitutionnel contemporain</w:t>
      </w:r>
      <w:r>
        <w:rPr>
          <w:vertAlign w:val="superscript"/>
        </w:rPr>
        <w:footnoteReference w:id="11"/>
      </w:r>
      <w:r>
        <w:t>. Ses manifestations les plus tangibles et prospères ont aussi bien guidé les pères fondateurs des Etats-Unis que les act</w:t>
      </w:r>
      <w:r>
        <w:t>eurs de la révolution française qui durent enjamber les siècles pour nommer la forme politique qu'ils projetaient de bâtir. Hier, aujourd'hui et pour longtemps, une constitution ne se revendiquant pas républicaine, au prix parfois de l’artifice</w:t>
      </w:r>
      <w:r>
        <w:rPr>
          <w:vertAlign w:val="superscript"/>
        </w:rPr>
        <w:footnoteReference w:id="12"/>
      </w:r>
      <w:r>
        <w:t>, fait figu</w:t>
      </w:r>
      <w:r>
        <w:t>re d'anomalie.</w:t>
      </w:r>
    </w:p>
    <w:p w:rsidR="002A1272" w:rsidRDefault="002A1272">
      <w:pPr>
        <w:pStyle w:val="Standard"/>
        <w:jc w:val="both"/>
      </w:pPr>
    </w:p>
    <w:p w:rsidR="002A1272" w:rsidRDefault="000D1194">
      <w:pPr>
        <w:pStyle w:val="Standard"/>
        <w:jc w:val="both"/>
      </w:pPr>
      <w:r>
        <w:tab/>
        <w:t xml:space="preserve">La Constitution mauricienne s'inscrit </w:t>
      </w:r>
      <w:r>
        <w:t>tardivement, en 1992</w:t>
      </w:r>
      <w:r>
        <w:rPr>
          <w:vertAlign w:val="superscript"/>
        </w:rPr>
        <w:footnoteReference w:id="13"/>
      </w:r>
      <w:r>
        <w:t>, mais pleinement dans son temps en affirmant ainsi dès l'entame son appartenance au « camp républicain », elle rejoint ainsi une vaste et dominante catégorie, au moins sur un plan</w:t>
      </w:r>
      <w:r>
        <w:t xml:space="preserve"> formel, de constitutions. Cette référence s’entend initialement par opposition à une forme monarchique</w:t>
      </w:r>
      <w:r>
        <w:rPr>
          <w:vertAlign w:val="superscript"/>
        </w:rPr>
        <w:footnoteReference w:id="14"/>
      </w:r>
      <w:r>
        <w:t>, entendue comme le gouvernement d’un seul tandis que dans la République, selon Aristote la souveraineté est entre les mains du peuple</w:t>
      </w:r>
      <w:r>
        <w:rPr>
          <w:vertAlign w:val="superscript"/>
        </w:rPr>
        <w:footnoteReference w:id="15"/>
      </w:r>
      <w:r>
        <w:t>. Dans ces condit</w:t>
      </w:r>
      <w:r>
        <w:t>ions, l'accession à l'indépendance nationale vaut naturellement rétablissement du peuple dans ses droits et fondation républicaine. Bien qu’elle ne soit pas à l’origine synonyme de démocratie</w:t>
      </w:r>
      <w:r>
        <w:rPr>
          <w:vertAlign w:val="superscript"/>
        </w:rPr>
        <w:footnoteReference w:id="16"/>
      </w:r>
      <w:r>
        <w:t>, la République tend à s’y confondre dans la mesure où le peuple</w:t>
      </w:r>
      <w:r>
        <w:t xml:space="preserve"> est à la source de tous pouvoirs, à telle enseigne que de nos jours il ne peut y avoir qu’une « République démocratique »</w:t>
      </w:r>
      <w:r>
        <w:rPr>
          <w:vertAlign w:val="superscript"/>
        </w:rPr>
        <w:footnoteReference w:id="17"/>
      </w:r>
      <w:r>
        <w:t>. Tel est de prime abord le sens à donner à la double assertion d'un Etat démocratique nommé République comme le fait la Constitution</w:t>
      </w:r>
      <w:r>
        <w:t xml:space="preserve"> mauricienne.</w:t>
      </w:r>
    </w:p>
    <w:p w:rsidR="002A1272" w:rsidRDefault="002A1272">
      <w:pPr>
        <w:pStyle w:val="Standard"/>
        <w:jc w:val="both"/>
      </w:pPr>
    </w:p>
    <w:p w:rsidR="002A1272" w:rsidRDefault="000D1194">
      <w:pPr>
        <w:pStyle w:val="Standard"/>
        <w:jc w:val="both"/>
      </w:pPr>
      <w:r>
        <w:tab/>
        <w:t>Pr</w:t>
      </w:r>
      <w:r>
        <w:t>ès d’un quart de siècle de germination semble être un laps de temps suffisant pour que s’ancre un régime républicain chassant l’ombrelle de la monarchie couvrant l’indépendance tant le modèle de Westminster</w:t>
      </w:r>
      <w:r>
        <w:rPr>
          <w:vertAlign w:val="superscript"/>
        </w:rPr>
        <w:footnoteReference w:id="18"/>
      </w:r>
      <w:r>
        <w:t xml:space="preserve"> fut prégnant. Ce modèle subi (</w:t>
      </w:r>
      <w:r>
        <w:t xml:space="preserve">I), donnant corps au mimétisme </w:t>
      </w:r>
      <w:r>
        <w:lastRenderedPageBreak/>
        <w:t>constitutionnel souvent à l’oeuvre et observé dans les Etats nouvellement indépendants se vérifie ici. Le système constitutionnel mauricien ayant apporté la preuve de sa solidité et de sa stabilité s’est progressivement émanc</w:t>
      </w:r>
      <w:r>
        <w:t>ipé du giron juridique britannique en optant pour un régime républicain, preuve cette fois d’un modèle choisi (II).</w:t>
      </w:r>
    </w:p>
    <w:p w:rsidR="002A1272" w:rsidRDefault="002A1272">
      <w:pPr>
        <w:pStyle w:val="Standard"/>
        <w:jc w:val="both"/>
      </w:pPr>
    </w:p>
    <w:p w:rsidR="002A1272" w:rsidRDefault="000D1194">
      <w:pPr>
        <w:pStyle w:val="Standard"/>
        <w:jc w:val="both"/>
      </w:pPr>
      <w:r>
        <w:t>I - L’indépendance dans la dépendance : le modèle subi du parlementarisme britannique</w:t>
      </w:r>
    </w:p>
    <w:p w:rsidR="002A1272" w:rsidRDefault="002A1272">
      <w:pPr>
        <w:pStyle w:val="Standard"/>
        <w:jc w:val="both"/>
      </w:pPr>
    </w:p>
    <w:p w:rsidR="002A1272" w:rsidRDefault="000D1194">
      <w:pPr>
        <w:pStyle w:val="Standard"/>
        <w:jc w:val="both"/>
      </w:pPr>
      <w:r>
        <w:tab/>
        <w:t xml:space="preserve">Il est sans doute vain ici </w:t>
      </w:r>
      <w:r>
        <w:t>« d’émettre (après coup)</w:t>
      </w:r>
      <w:r>
        <w:t xml:space="preserve"> des critiques faciles quoique fondées sur ce ”néocolonialisme constitutionnel”, il serait intellectuellement plus honnête d’admettre que ce ”mimétisme constitutionnel” était à l’époque, et dans un premier mouvement d’émancipation, inévitable… »</w:t>
      </w:r>
      <w:r>
        <w:rPr>
          <w:vertAlign w:val="superscript"/>
        </w:rPr>
        <w:footnoteReference w:id="19"/>
      </w:r>
      <w:r>
        <w:t>. Il s’agi</w:t>
      </w:r>
      <w:r>
        <w:t>t seulement de constater la forte proximité entre la Constitution d’un Etat nouvellement souverain et l’ancienne métropole, d’autant plus qu’elle porte un modèle matriciel d’une grande catégorie du droit constitutionnel : le régime parlementaire (A). Toute</w:t>
      </w:r>
      <w:r>
        <w:t>fois, et c’est un trait saillant du système juridique mauricien, un syncrétisme constitutionnel agit en profondeur résultant d’une influence continentale/</w:t>
      </w:r>
    </w:p>
    <w:p w:rsidR="002A1272" w:rsidRDefault="002A1272">
      <w:pPr>
        <w:pStyle w:val="Standard"/>
        <w:jc w:val="both"/>
      </w:pPr>
    </w:p>
    <w:p w:rsidR="002A1272" w:rsidRDefault="000D1194">
      <w:pPr>
        <w:pStyle w:val="Standard"/>
        <w:numPr>
          <w:ilvl w:val="0"/>
          <w:numId w:val="2"/>
        </w:numPr>
        <w:jc w:val="both"/>
      </w:pPr>
      <w:r>
        <w:t xml:space="preserve">Un régime parlementaire à l’ombre de Westminster </w:t>
      </w:r>
    </w:p>
    <w:p w:rsidR="002A1272" w:rsidRDefault="002A1272">
      <w:pPr>
        <w:pStyle w:val="Standard"/>
        <w:jc w:val="both"/>
      </w:pPr>
    </w:p>
    <w:p w:rsidR="002A1272" w:rsidRDefault="000D1194">
      <w:pPr>
        <w:pStyle w:val="Standard"/>
        <w:jc w:val="both"/>
      </w:pPr>
      <w:r>
        <w:tab/>
        <w:t>« </w:t>
      </w:r>
      <w:r>
        <w:t xml:space="preserve">By way of introduction, the State and the </w:t>
      </w:r>
      <w:r>
        <w:t>Constitution have been defined in chapter one. Mauritius has been described as a sovereign democratic State and the Constitution as the supreme lax of Mauritius »</w:t>
      </w:r>
      <w:r>
        <w:rPr>
          <w:vertAlign w:val="superscript"/>
        </w:rPr>
        <w:footnoteReference w:id="20"/>
      </w:r>
      <w:r>
        <w:t>. Il est vrai que le chapitre I, L’Etat et la Constitution, comporte deux articles inauguraux</w:t>
      </w:r>
      <w:r>
        <w:t xml:space="preserve"> affirmant respectivement : « L’île Maurice est un État souverain et démocratique » ; « La Constitution est la loi suprême ». Cette affirmation d’une souveraineté, non qualifiée de nationale ou populaire à rebours de la tradition constitutionnelle français</w:t>
      </w:r>
      <w:r>
        <w:t>e est le siège de la reconnaissance de l’indépendance du nouvel Etat. A l’évidence la stratification sociale de l’île Maurice en est à l’origine. En outre, compte davantage le statut de l’Etat que la forme du régime, tant son essence souveraine a la priori</w:t>
      </w:r>
      <w:r>
        <w:t>té sur ses conditions d’existence. Comment ne pas y voir la manifestation imparfaite du tropisme indien ? Dans son Préambule, la Constitution de l’Union indienne du 26 janvier 1950 ne retient-elle pas que l’Inde est constituée d’une : « Sovereign Democrati</w:t>
      </w:r>
      <w:r>
        <w:t>c Republic » ? Ainsi le voisinage entre les caractères souverains et démocratiques d’un Etat accédant à l’indépendance pour évident qu’il soit ne se recommande pas d’une même évidence s’agissant de son caractère républicain. Pour le dire autrement, une rév</w:t>
      </w:r>
      <w:r>
        <w:t>olution manque en l’occurrence à la fondation républicaine, les épisodes sanglants de janvier 1968 n’en relevant pas ; l’Indépendance fruit d’une évolution se déploie à l’ombre de la Monarchie quand la Révolution est souvent encline à enfanter la Républiqu</w:t>
      </w:r>
      <w:r>
        <w:t>e ! Par ailleurs et formellement, la structure sociale de l’Inde dominée par une hiérarchie fondée sur l’appartenance communautaire n’est pas incompatible avec un régime républicain réduit à son sens le plus étroit et historique : la non-dévolution hérédit</w:t>
      </w:r>
      <w:r>
        <w:t>aire du pouvoir. La parenté en la matière avec la société mauricienne laisse entrevoir un horizon républicain aux implications limitées s’agissant du statut individuel. Pour l’heure cet horizon est bouché par la plume du constituant, J. Colom soulignant qu</w:t>
      </w:r>
      <w:r>
        <w:t>e cet article 1er a été « écrit par les juristes anglais selon le style des règlements coloniaux »</w:t>
      </w:r>
      <w:r>
        <w:rPr>
          <w:vertAlign w:val="superscript"/>
        </w:rPr>
        <w:footnoteReference w:id="21"/>
      </w:r>
      <w:r>
        <w:t xml:space="preserve"> comme le démontre l’absence de Préambule.</w:t>
      </w:r>
    </w:p>
    <w:p w:rsidR="002A1272" w:rsidRDefault="002A1272">
      <w:pPr>
        <w:pStyle w:val="Standard"/>
        <w:jc w:val="both"/>
      </w:pPr>
    </w:p>
    <w:p w:rsidR="002A1272" w:rsidRDefault="000D1194">
      <w:pPr>
        <w:pStyle w:val="Standard"/>
        <w:jc w:val="both"/>
      </w:pPr>
      <w:r>
        <w:tab/>
        <w:t>En attendant qu</w:t>
      </w:r>
      <w:r>
        <w:t xml:space="preserve">’une éventuelle réforme constitutionnelle ne se dessine, la Cour Suprême a insufflé, certes </w:t>
      </w:r>
      <w:r>
        <w:t xml:space="preserve">tardivement, une vitalité toute juridique au caractère démocratique du jeune Etat.  La  </w:t>
      </w:r>
      <w:r>
        <w:lastRenderedPageBreak/>
        <w:t xml:space="preserve">Cour Suprême a commencé par donner une substance à l’affirmation de la démocratie en la reliant d’une part au principe de l’état de droit et d’autre part à celui de la </w:t>
      </w:r>
      <w:r>
        <w:t>séparation des pouvoirs entre le législatif, l’exécutif et le judiciaire</w:t>
      </w:r>
      <w:r>
        <w:rPr>
          <w:vertAlign w:val="superscript"/>
        </w:rPr>
        <w:footnoteReference w:id="22"/>
      </w:r>
      <w:r>
        <w:t>. Quelques années plus tard elle considère : « The idea of democracy involves a number o différents concepts. The first is the people must dec idea who should gouverne them. Secondly,</w:t>
      </w:r>
      <w:r>
        <w:t xml:space="preserve"> the is the principle that fondamental rights should be protected by an impartial and independent judiciary. Thirdly, in ordre to achieve a reconciliation between the inévitable tensions between thèse ideas, a séparation of powers between the legislature, </w:t>
      </w:r>
      <w:r>
        <w:t>the executive and the judiciaire is necessary »</w:t>
      </w:r>
      <w:r>
        <w:rPr>
          <w:vertAlign w:val="superscript"/>
        </w:rPr>
        <w:footnoteReference w:id="23"/>
      </w:r>
      <w:r>
        <w:t xml:space="preserve">. Ainsi pendant de longues années le terme « démocratique » ne possédait qu’une valeur purement déclaratoire, injusticiable, « the provision that Mauritius ‘shall be … a democratic State’ is an operative and </w:t>
      </w:r>
      <w:r>
        <w:t>binding provision »</w:t>
      </w:r>
      <w:r>
        <w:rPr>
          <w:vertAlign w:val="superscript"/>
        </w:rPr>
        <w:footnoteReference w:id="24"/>
      </w:r>
      <w:r>
        <w:t>. La lecture que fait le juge du terme démocratie recouvre parfaitement le sens étymologique et traditionnel d’un « gouvernement par le peuple ».</w:t>
      </w:r>
    </w:p>
    <w:p w:rsidR="002A1272" w:rsidRDefault="002A1272">
      <w:pPr>
        <w:pStyle w:val="Standard"/>
        <w:jc w:val="both"/>
      </w:pPr>
    </w:p>
    <w:p w:rsidR="002A1272" w:rsidRDefault="000D1194">
      <w:pPr>
        <w:pStyle w:val="Standard"/>
        <w:jc w:val="both"/>
      </w:pPr>
      <w:r>
        <w:tab/>
        <w:t>Le substrat d</w:t>
      </w:r>
      <w:r>
        <w:t>émocratique de la Constitution mauricienne se concilie sans mal avec la nat</w:t>
      </w:r>
      <w:r>
        <w:t>ure de son régime. Comme si sa chrysalide était insuffisamment achevée, le jeune Etat mauricien emprunte au colonisateur son système institutionnel, classiquement organisé en un régime parlementaire</w:t>
      </w:r>
      <w:r>
        <w:rPr>
          <w:vertAlign w:val="superscript"/>
        </w:rPr>
        <w:footnoteReference w:id="25"/>
      </w:r>
      <w:r>
        <w:t xml:space="preserve">. La Constitution de 1968 prévoit alors que le « pouvoir </w:t>
      </w:r>
      <w:r>
        <w:t>exécutif à l’île Maurice s’incarne dans Sa Majesté », laquelle est le chef de l’Etat, représentée par un gouverneur général, lequel nomme à son tour le Premier ministre (article 59). En réalité, ce dernier, comme les membres de son cabinet, sont issus du p</w:t>
      </w:r>
      <w:r>
        <w:t>arti majoritaire, dont le leader aspire précisément à diriger le cabinet.  L’article 59-3 de la Constitution précise qu’il nomme comme « Premier ministre le député qui lui paraît susceptible d’obtenir le soutien de la majorité des membres de l’Assemblée ».</w:t>
      </w:r>
      <w:r>
        <w:t xml:space="preserve"> Dans ces conditions, le profil du régime se précise : « our system of gouvernment is the system of cabinet government »</w:t>
      </w:r>
      <w:r>
        <w:rPr>
          <w:vertAlign w:val="superscript"/>
        </w:rPr>
        <w:footnoteReference w:id="26"/>
      </w:r>
      <w:r>
        <w:t>.</w:t>
      </w:r>
    </w:p>
    <w:p w:rsidR="002A1272" w:rsidRDefault="002A1272">
      <w:pPr>
        <w:pStyle w:val="Standard"/>
        <w:jc w:val="both"/>
      </w:pPr>
    </w:p>
    <w:p w:rsidR="002A1272" w:rsidRDefault="000D1194">
      <w:pPr>
        <w:pStyle w:val="Standard"/>
        <w:jc w:val="both"/>
      </w:pPr>
      <w:r>
        <w:tab/>
        <w:t>Du c</w:t>
      </w:r>
      <w:r>
        <w:t>ôté législatif, le Parlement est « composé de Sa Majesté et d’une assemblée législative »</w:t>
      </w:r>
      <w:r>
        <w:rPr>
          <w:vertAlign w:val="superscript"/>
        </w:rPr>
        <w:footnoteReference w:id="27"/>
      </w:r>
      <w:r>
        <w:t>. Ce jardin à l’anglaise heurte le ca</w:t>
      </w:r>
      <w:r>
        <w:t>rtésianisme continental : dans un Etat nouvellement proclamé souverain le représentant d’une monarchie étrangère est à la fois une incarnation exécutive et détenteur d’une fonction législative. A ce titre, le gouverneur général détient une faculté d’empêch</w:t>
      </w:r>
      <w:r>
        <w:t>er, chère à Montesquieu, dans la mesure où les projets de loi votés par l’Assemblée législative doivent être approuvés par lui. Il reste que ce n’est point le gouverneur qui gouverne, mais le cabinet et que ce dernier tire sa force autant que sa légitimité</w:t>
      </w:r>
      <w:r>
        <w:t xml:space="preserve"> de la majorité de l’Assemblée législative élue.A nouveau, les particularisme de la société mauricienne sont à l’origine d’un système électoral spécifique</w:t>
      </w:r>
      <w:r>
        <w:rPr>
          <w:vertAlign w:val="superscript"/>
        </w:rPr>
        <w:footnoteReference w:id="28"/>
      </w:r>
      <w:r>
        <w:t>. Sont en revanche communs les rapports entretenus entre le cabinet et l’Assemblée, il est « collecti</w:t>
      </w:r>
      <w:r>
        <w:t>vement responsable » devant celle-ci, tandis que le « gouverneur général, agissant conformément à l’avis du Premier ministre, peut à tout moment proroger ou dissoudre l’Assemblée »</w:t>
      </w:r>
      <w:r>
        <w:rPr>
          <w:vertAlign w:val="superscript"/>
        </w:rPr>
        <w:footnoteReference w:id="29"/>
      </w:r>
      <w:r>
        <w:t>. Comme l’analyse alors Louis Favoreu : « le système britannique a été fidè</w:t>
      </w:r>
      <w:r>
        <w:t>lement transposé »</w:t>
      </w:r>
      <w:r>
        <w:rPr>
          <w:vertAlign w:val="superscript"/>
        </w:rPr>
        <w:footnoteReference w:id="30"/>
      </w:r>
      <w:r>
        <w:t>. Le constituant de 1968 pousse la fidélité jusqu’à expurger de toute référence républicaine le texte fondateur, laquelle aurait pu emporter des conséquences sur les structures de la société mauricienne.</w:t>
      </w:r>
    </w:p>
    <w:p w:rsidR="002A1272" w:rsidRDefault="002A1272">
      <w:pPr>
        <w:pStyle w:val="Standard"/>
        <w:jc w:val="both"/>
      </w:pPr>
    </w:p>
    <w:p w:rsidR="002A1272" w:rsidRDefault="000D1194">
      <w:pPr>
        <w:pStyle w:val="Standard"/>
        <w:jc w:val="both"/>
      </w:pPr>
      <w:r>
        <w:tab/>
        <w:t xml:space="preserve">Il serait vain </w:t>
      </w:r>
      <w:r>
        <w:t>à 50 ans de dist</w:t>
      </w:r>
      <w:r>
        <w:t xml:space="preserve">ance de souligner plus en avant la filiation de la Constitution mauricienne avec le parlementarisme britannique; le propos vise davantage à en souligner le </w:t>
      </w:r>
      <w:r>
        <w:lastRenderedPageBreak/>
        <w:t xml:space="preserve">syncrétisme. A cet égard, il importe de déceler les éléments d'une influence continentale irriguant </w:t>
      </w:r>
      <w:r>
        <w:t>la norme suprême.</w:t>
      </w:r>
    </w:p>
    <w:p w:rsidR="002A1272" w:rsidRDefault="002A1272">
      <w:pPr>
        <w:pStyle w:val="Standard"/>
        <w:jc w:val="both"/>
      </w:pPr>
    </w:p>
    <w:p w:rsidR="002A1272" w:rsidRDefault="000D1194">
      <w:pPr>
        <w:pStyle w:val="Standard"/>
        <w:jc w:val="both"/>
      </w:pPr>
      <w:r>
        <w:t>B) Une constitution sous influence continentale</w:t>
      </w:r>
    </w:p>
    <w:p w:rsidR="002A1272" w:rsidRDefault="002A1272">
      <w:pPr>
        <w:pStyle w:val="Standard"/>
        <w:jc w:val="both"/>
      </w:pPr>
    </w:p>
    <w:p w:rsidR="002A1272" w:rsidRDefault="000D1194">
      <w:pPr>
        <w:pStyle w:val="Standard"/>
        <w:jc w:val="both"/>
      </w:pPr>
      <w:r>
        <w:tab/>
        <w:t>Bien qu</w:t>
      </w:r>
      <w:r>
        <w:t>’il ne faille pas exagérer la distinction entre constitution écrite et coutumière pour ranger toute entière la Constitution britannique dans la seconde. Mais, il est certain qu’app</w:t>
      </w:r>
      <w:r>
        <w:t>artenant à la première catégorie, par cet élément, la Constitution mauricienne penche du côté du modèle continental. Si le défaut d’un procédé de démocratie semi-directe prenant la forme d’un référendum - ne faisant toujours pas partie de la culture politi</w:t>
      </w:r>
      <w:r>
        <w:t>que du pays</w:t>
      </w:r>
      <w:r>
        <w:rPr>
          <w:vertAlign w:val="superscript"/>
        </w:rPr>
        <w:footnoteReference w:id="31"/>
      </w:r>
      <w:r>
        <w:t> - est patent, l’enjeu des élections générales de 1967 découle du lien entre leur résultat et la proclamation le cas échéant de l’indépendance assortie de la mise en oeuvre d’une nouvelle constitution. Toutefois, et encore une fois, la prégnanc</w:t>
      </w:r>
      <w:r>
        <w:t xml:space="preserve">e coloniale est ici marquée dans la mesure où le texte constitutionnel n’est pas le fruit de la délégation du pouvoir constituant à l’assemblée élue, mais celui d’une écriture experte par Stanley Alexander de Smith, professeur britannique de droit public, </w:t>
      </w:r>
      <w:r>
        <w:t>qui a joué un rôle central au sein de la conférence constitutionnelle formée en particulier de représentants des partis politiques mauriciens. En d’autres termes, la chaine des événements illustre « le procédé d’élaboration non démocratique de cette écritu</w:t>
      </w:r>
      <w:r>
        <w:t>re constitutionnelle soumise à une autorité coloniale »</w:t>
      </w:r>
      <w:r>
        <w:rPr>
          <w:vertAlign w:val="superscript"/>
        </w:rPr>
        <w:footnoteReference w:id="32"/>
      </w:r>
      <w:r>
        <w:t>.</w:t>
      </w:r>
    </w:p>
    <w:p w:rsidR="002A1272" w:rsidRDefault="002A1272">
      <w:pPr>
        <w:pStyle w:val="Standard"/>
        <w:jc w:val="both"/>
      </w:pPr>
    </w:p>
    <w:p w:rsidR="002A1272" w:rsidRDefault="000D1194">
      <w:pPr>
        <w:pStyle w:val="Standard"/>
        <w:jc w:val="both"/>
      </w:pPr>
      <w:r>
        <w:tab/>
      </w:r>
      <w:r>
        <w:t>L’influence continentale se fait plus sensible</w:t>
      </w:r>
      <w:r>
        <w:rPr>
          <w:vertAlign w:val="superscript"/>
        </w:rPr>
        <w:footnoteReference w:id="33"/>
      </w:r>
      <w:r>
        <w:t xml:space="preserve"> dans le chapitre II de la Constitution consacré à la « Protection des droits fondamentaux et des libertés individuelles ». Tant sur le fond que sur </w:t>
      </w:r>
      <w:r>
        <w:t>la forme l’inspiration de la Convention européenne de sauvegarde des droits de l’Homme</w:t>
      </w:r>
      <w:r>
        <w:rPr>
          <w:vertAlign w:val="superscript"/>
        </w:rPr>
        <w:footnoteReference w:id="34"/>
      </w:r>
      <w:r>
        <w:t xml:space="preserve"> et des libertés fondamentales de 1950 - et dans une moindre mesure de la Déclaration Universelle des droits de l’Homme</w:t>
      </w:r>
      <w:r>
        <w:rPr>
          <w:vertAlign w:val="superscript"/>
        </w:rPr>
        <w:footnoteReference w:id="35"/>
      </w:r>
      <w:r>
        <w:t> - est manifeste : protection du droit à la vie (</w:t>
      </w:r>
      <w:r>
        <w:t>art. 4), protection contre l’esclavage et le travail forcé (art. 6), garantie des droits de la défense (art. 10), liberté de de conscience (art. 11), liberté d’expression (art. 12), liberté de réunion et d’association (art. 12) protection contre toutes for</w:t>
      </w:r>
      <w:r>
        <w:t>mes de discrimination (art. 16). D’autres influences européennes se font sentir, ainsi la « liberté de fonder des établissements scolaires »</w:t>
      </w:r>
      <w:r>
        <w:rPr>
          <w:vertAlign w:val="superscript"/>
        </w:rPr>
        <w:footnoteReference w:id="36"/>
      </w:r>
      <w:r>
        <w:t xml:space="preserve"> , relayé par l’article 14</w:t>
      </w:r>
      <w:r>
        <w:rPr>
          <w:vertAlign w:val="superscript"/>
        </w:rPr>
        <w:footnoteReference w:id="37"/>
      </w:r>
      <w:r>
        <w:t>, évoque inévitablement l'article 7 de la loi fondamentale retenant : « Le droit de fond</w:t>
      </w:r>
      <w:r>
        <w:t>er des écoles privées est garanti ». Il ne s'agit pas dans le cadre de cette contribution de tisser systématiquement les liens unissant la constitution mauricienne avec tel ou tel texte ou constitution européenne, en l'occurence allemande, pour en souligne</w:t>
      </w:r>
      <w:r>
        <w:t>r une parenté niée ou occultée, mais d'en éclairer la substance que l’on peut qualifier de républicaine, avant même que celle-ci ne fasse l’objet d’une reconnaissance formelle ou pour céder aux travers langagier du temps d'en extraire l'adn républicain.</w:t>
      </w:r>
    </w:p>
    <w:p w:rsidR="002A1272" w:rsidRDefault="002A1272">
      <w:pPr>
        <w:pStyle w:val="Standard"/>
        <w:jc w:val="both"/>
      </w:pPr>
    </w:p>
    <w:p w:rsidR="002A1272" w:rsidRDefault="000D1194">
      <w:pPr>
        <w:pStyle w:val="Standard"/>
        <w:jc w:val="both"/>
      </w:pPr>
      <w:r>
        <w:tab/>
      </w:r>
      <w:r>
        <w:t>Au demeurant, ce chapitre II est tr</w:t>
      </w:r>
      <w:r>
        <w:t>ès fourni, formé des articles 3 à 19, plusieurs fois amendés, son écriture l’éloigne des standards habituels par le degré de précision de ses dispositions et par leur teneur. Certains passages abordent ainsi la question d</w:t>
      </w:r>
      <w:r>
        <w:t>u « paiement des allocations de retraite à tout membre ou ancien membre de l'Assemblée nationale »</w:t>
      </w:r>
      <w:r>
        <w:rPr>
          <w:vertAlign w:val="superscript"/>
        </w:rPr>
        <w:footnoteReference w:id="38"/>
      </w:r>
      <w:r>
        <w:t xml:space="preserve">, ce qui au passage soutient </w:t>
      </w:r>
      <w:r>
        <w:lastRenderedPageBreak/>
        <w:t xml:space="preserve">l’analyse de Georges Vedel selon lequel : « il n’existe pas de définition matérielle de la Constitution. Est constitutionnelle, </w:t>
      </w:r>
      <w:r>
        <w:t>quel qu’en soit l’objet, toute disposition émanant du pouvoir constituant »</w:t>
      </w:r>
      <w:r>
        <w:rPr>
          <w:vertAlign w:val="superscript"/>
        </w:rPr>
        <w:footnoteReference w:id="39"/>
      </w:r>
      <w:r>
        <w:t>. Quoi qu’il en soit, cet ensemble de droits et libertés bénéficie d’une protection juridictionnelle assurée par la Cour Suprême</w:t>
      </w:r>
      <w:r>
        <w:rPr>
          <w:vertAlign w:val="superscript"/>
        </w:rPr>
        <w:footnoteReference w:id="40"/>
      </w:r>
      <w:r>
        <w:t>. Si le « système de justice constitutionnelle en v</w:t>
      </w:r>
      <w:r>
        <w:t>igueur dans la Constitution de la République de Maurice peut être essentiellement rattaché au modèle américain »</w:t>
      </w:r>
      <w:r>
        <w:rPr>
          <w:vertAlign w:val="superscript"/>
        </w:rPr>
        <w:footnoteReference w:id="41"/>
      </w:r>
      <w:r>
        <w:t xml:space="preserve">, cette juridiction </w:t>
      </w:r>
      <w:r>
        <w:rPr>
          <w:u w:color="000080"/>
        </w:rPr>
        <w:t>assure un contrôle de constitutionnalité des lois suivant les contours d’un système présent de longue date dans les Etats d</w:t>
      </w:r>
      <w:r>
        <w:rPr>
          <w:u w:color="000080"/>
        </w:rPr>
        <w:t>u Commonwealth</w:t>
      </w:r>
      <w:r>
        <w:rPr>
          <w:u w:color="000080"/>
          <w:vertAlign w:val="superscript"/>
        </w:rPr>
        <w:footnoteReference w:id="42"/>
      </w:r>
      <w:r>
        <w:rPr>
          <w:u w:color="000080"/>
        </w:rPr>
        <w:t>. Plus largement et à ses débuts la Cour Suprêm</w:t>
      </w:r>
      <w:r>
        <w:t>e participe d’</w:t>
      </w:r>
      <w:r>
        <w:rPr>
          <w:u w:color="000080"/>
        </w:rPr>
        <w:t xml:space="preserve">une conception toute britannique du pouvoir judiciaire. </w:t>
      </w:r>
    </w:p>
    <w:p w:rsidR="002A1272" w:rsidRDefault="002A1272">
      <w:pPr>
        <w:pStyle w:val="Standard"/>
        <w:jc w:val="both"/>
      </w:pPr>
    </w:p>
    <w:p w:rsidR="002A1272" w:rsidRDefault="000D1194">
      <w:pPr>
        <w:pStyle w:val="Standard"/>
        <w:jc w:val="both"/>
      </w:pPr>
      <w:r>
        <w:tab/>
      </w:r>
      <w:r>
        <w:t xml:space="preserve">La Constitution mauricienne fait suivre la </w:t>
      </w:r>
      <w:r>
        <w:rPr>
          <w:u w:color="000080"/>
        </w:rPr>
        <w:t>Protection des droits fondamentaux et des libertés individuelles</w:t>
      </w:r>
      <w:r>
        <w:rPr>
          <w:u w:color="000080"/>
        </w:rPr>
        <w:t xml:space="preserve"> d’un chapitre</w:t>
      </w:r>
      <w:r>
        <w:rPr>
          <w:u w:color="000080"/>
        </w:rPr>
        <w:t xml:space="preserve"> 3 « Citoyenneté », illustratif des spécificités historiques et géographiques de Maurice quant à son peuplement et son appartenance à la Couronne britannique, la citoyenneté mauricienne emportant appartenance au statut de citoyen du Commonwealth. Le régime</w:t>
      </w:r>
      <w:r>
        <w:rPr>
          <w:u w:color="000080"/>
        </w:rPr>
        <w:t xml:space="preserve"> électoral mauricien, et au-delà la vie politique « </w:t>
      </w:r>
      <w:r>
        <w:rPr>
          <w:u w:color="000080"/>
        </w:rPr>
        <w:t>repose largement sur l'institutionnalisation du pluralisme culturel</w:t>
      </w:r>
      <w:r>
        <w:rPr>
          <w:u w:color="000080"/>
        </w:rPr>
        <w:t xml:space="preserve"> » et sur la prise en compte de communautés ethniques, ce qu’on désigne « sous le terme de </w:t>
      </w:r>
      <w:r>
        <w:rPr>
          <w:i/>
          <w:iCs/>
          <w:u w:color="000080"/>
        </w:rPr>
        <w:t>communalisme</w:t>
      </w:r>
      <w:r>
        <w:rPr>
          <w:u w:color="000080"/>
        </w:rPr>
        <w:t> »</w:t>
      </w:r>
      <w:r>
        <w:rPr>
          <w:u w:color="000080"/>
          <w:vertAlign w:val="superscript"/>
        </w:rPr>
        <w:footnoteReference w:id="43"/>
      </w:r>
      <w:r>
        <w:rPr>
          <w:u w:color="000080"/>
        </w:rPr>
        <w:t>. Ce pluralisme ethnique qui es</w:t>
      </w:r>
      <w:r>
        <w:rPr>
          <w:u w:color="000080"/>
        </w:rPr>
        <w:t>t la marque de la société mauricienne ne va pas sans heurts</w:t>
      </w:r>
      <w:r>
        <w:rPr>
          <w:u w:color="000080"/>
          <w:vertAlign w:val="superscript"/>
        </w:rPr>
        <w:footnoteReference w:id="44"/>
      </w:r>
      <w:r>
        <w:rPr>
          <w:u w:color="000080"/>
        </w:rPr>
        <w:t>. L’originalité des dispositions relatives à la citoyenneté mauricienne est également à la fois le témoin constitutionnel de l’accession à l’indépendance dans la mesure où elles opèrent une césure</w:t>
      </w:r>
      <w:r>
        <w:rPr>
          <w:u w:color="000080"/>
        </w:rPr>
        <w:t xml:space="preserve"> à la date de sa proclamation quant à l’acquisition de cette citoyenneté et le reflet du développement d’une population, l’éligibilité étant suspendue au terme de l’article 33 à une relative maitrise de la langue anglaise qu’il faut être capable de parler </w:t>
      </w:r>
      <w:r>
        <w:rPr>
          <w:u w:color="000080"/>
        </w:rPr>
        <w:t>et de lire « suffisamment bien » pour prétendre être membre de l’Assemblée législative. TOUJOURS XXX</w:t>
      </w:r>
    </w:p>
    <w:p w:rsidR="002A1272" w:rsidRDefault="002A1272">
      <w:pPr>
        <w:pStyle w:val="Standard"/>
        <w:jc w:val="both"/>
      </w:pPr>
    </w:p>
    <w:p w:rsidR="002A1272" w:rsidRDefault="000D1194">
      <w:pPr>
        <w:pStyle w:val="Standard"/>
        <w:jc w:val="both"/>
        <w:rPr>
          <w:u w:color="000080"/>
        </w:rPr>
      </w:pPr>
      <w:r>
        <w:tab/>
        <w:t>Les chapitres suivants sont respectivement consacr</w:t>
      </w:r>
      <w:r>
        <w:t xml:space="preserve">és au Président et au Vice-Président de la République (Chapitre IV), au </w:t>
      </w:r>
      <w:r>
        <w:rPr>
          <w:u w:color="000080"/>
        </w:rPr>
        <w:t>Parlement</w:t>
      </w:r>
      <w:r>
        <w:rPr>
          <w:u w:color="000080"/>
        </w:rPr>
        <w:t xml:space="preserve"> (</w:t>
      </w:r>
      <w:r>
        <w:t>Chapitre V), à l</w:t>
      </w:r>
      <w:r>
        <w:rPr>
          <w:u w:color="000080"/>
        </w:rPr>
        <w:t>’</w:t>
      </w:r>
      <w:r>
        <w:rPr>
          <w:u w:color="000080"/>
        </w:rPr>
        <w:t>exé</w:t>
      </w:r>
      <w:r>
        <w:rPr>
          <w:u w:color="000080"/>
        </w:rPr>
        <w:t>cutif</w:t>
      </w:r>
      <w:r>
        <w:rPr>
          <w:u w:color="000080"/>
        </w:rPr>
        <w:t xml:space="preserve"> (</w:t>
      </w:r>
      <w:r>
        <w:t>Chapitre VI), à l</w:t>
      </w:r>
      <w:r>
        <w:rPr>
          <w:u w:color="000080"/>
        </w:rPr>
        <w:t>’</w:t>
      </w:r>
      <w:r>
        <w:rPr>
          <w:u w:color="000080"/>
        </w:rPr>
        <w:t>Assemblée régionale de Rodrigues</w:t>
      </w:r>
      <w:r>
        <w:rPr>
          <w:u w:color="000080"/>
        </w:rPr>
        <w:t xml:space="preserve"> (</w:t>
      </w:r>
      <w:r>
        <w:t xml:space="preserve">Chapitre VI A), au </w:t>
      </w:r>
      <w:r>
        <w:rPr>
          <w:u w:color="000080"/>
        </w:rPr>
        <w:t>pouvoir judiciaire</w:t>
      </w:r>
      <w:r>
        <w:rPr>
          <w:u w:color="000080"/>
        </w:rPr>
        <w:t xml:space="preserve"> (</w:t>
      </w:r>
      <w:r>
        <w:t>Chapitre VII), aux Commissions judiciaire et légale et de la fonction publique ainsi qu’à cette dernière (Chapitre VIII), à l</w:t>
      </w:r>
      <w:r>
        <w:rPr>
          <w:u w:color="000080"/>
        </w:rPr>
        <w:t>’</w:t>
      </w:r>
      <w:r>
        <w:rPr>
          <w:u w:color="000080"/>
        </w:rPr>
        <w:t>Ombudsman</w:t>
      </w:r>
      <w:r>
        <w:rPr>
          <w:u w:color="000080"/>
        </w:rPr>
        <w:t xml:space="preserve"> (</w:t>
      </w:r>
      <w:r>
        <w:t>Chapitre IX), aux fin</w:t>
      </w:r>
      <w:r>
        <w:t>ances (Chapitre X) et enfin, assez classiquement le dernier chapitre (XI) traite de questions diverses et hétérogénes. En dépit ou grâce à son extraction teintée de colonialisme, la Constitution entrée en vigueur en 1968 n’a pas démenti le pronostic conclu</w:t>
      </w:r>
      <w:r>
        <w:t>sif de Louis Favoreu ; « L’île Maurice sera la démocratie parlementaire de l’océan Indien, si elle parvient à survivre »</w:t>
      </w:r>
      <w:r>
        <w:rPr>
          <w:vertAlign w:val="superscript"/>
        </w:rPr>
        <w:footnoteReference w:id="45"/>
      </w:r>
      <w:r>
        <w:t>. Mieux serait-on tenté d’ajouter, elle va devenir une République dans l’océan Indien.</w:t>
      </w:r>
    </w:p>
    <w:p w:rsidR="002A1272" w:rsidRDefault="002A1272">
      <w:pPr>
        <w:pStyle w:val="Standard"/>
        <w:jc w:val="both"/>
        <w:rPr>
          <w:u w:color="000080"/>
        </w:rPr>
      </w:pPr>
    </w:p>
    <w:p w:rsidR="002A1272" w:rsidRDefault="000D1194">
      <w:pPr>
        <w:pStyle w:val="Standard"/>
        <w:jc w:val="both"/>
        <w:rPr>
          <w:u w:color="000080"/>
        </w:rPr>
      </w:pPr>
      <w:r>
        <w:rPr>
          <w:u w:color="000080"/>
        </w:rPr>
        <w:t>I</w:t>
      </w:r>
      <w:r>
        <w:rPr>
          <w:u w:color="000080"/>
        </w:rPr>
        <w:t>I - Le</w:t>
      </w:r>
      <w:r>
        <w:rPr>
          <w:u w:color="000080"/>
        </w:rPr>
        <w:t xml:space="preserve"> syncrétisme constitutionnel assumé</w:t>
      </w:r>
      <w:r>
        <w:rPr>
          <w:u w:color="000080"/>
        </w:rPr>
        <w:t xml:space="preserve"> : l</w:t>
      </w:r>
      <w:r>
        <w:rPr>
          <w:u w:color="000080"/>
        </w:rPr>
        <w:t>e</w:t>
      </w:r>
      <w:r>
        <w:rPr>
          <w:u w:color="000080"/>
        </w:rPr>
        <w:t xml:space="preserve"> modèle choisi du régime républicain</w:t>
      </w:r>
    </w:p>
    <w:p w:rsidR="002A1272" w:rsidRDefault="002A1272">
      <w:pPr>
        <w:pStyle w:val="Standard"/>
        <w:jc w:val="both"/>
        <w:rPr>
          <w:u w:color="000080"/>
        </w:rPr>
      </w:pPr>
    </w:p>
    <w:p w:rsidR="002A1272" w:rsidRDefault="000D1194">
      <w:pPr>
        <w:pStyle w:val="Standard"/>
        <w:jc w:val="both"/>
        <w:rPr>
          <w:u w:color="000080"/>
        </w:rPr>
      </w:pPr>
      <w:r>
        <w:rPr>
          <w:u w:color="000080"/>
        </w:rPr>
        <w:tab/>
        <w:t>Dans son avant-propos au recueil contenant la Constitution de la R</w:t>
      </w:r>
      <w:r>
        <w:rPr>
          <w:u w:color="000080"/>
        </w:rPr>
        <w:t>épublique de Maurice,  objet d’une nouvelle traduction justifiée par une série de révisions durant les années 1980 et le début des années 1990, Louis F</w:t>
      </w:r>
      <w:r>
        <w:rPr>
          <w:u w:color="000080"/>
        </w:rPr>
        <w:t>avoreu mesure le chemin parcouru par les institutions politiques mauriciennes un quart de siècle plus tard et se félicitant de sa continuité, gage d’une réussite aux yeux du constitutionnaliste d’autant qu’elle a su épouser les contours de son temps au gré</w:t>
      </w:r>
      <w:r>
        <w:rPr>
          <w:u w:color="000080"/>
        </w:rPr>
        <w:t xml:space="preserve"> des révisions</w:t>
      </w:r>
      <w:r>
        <w:rPr>
          <w:u w:color="000080"/>
          <w:vertAlign w:val="superscript"/>
        </w:rPr>
        <w:footnoteReference w:id="46"/>
      </w:r>
      <w:r>
        <w:rPr>
          <w:u w:color="000080"/>
        </w:rPr>
        <w:t>, ne manque pas de relever que la plus récente à ce moment là « a changé même la nature de l’Etat en faisant passer Maurice du statut de monarchie à celui de République »</w:t>
      </w:r>
      <w:r>
        <w:rPr>
          <w:u w:color="000080"/>
          <w:vertAlign w:val="superscript"/>
        </w:rPr>
        <w:footnoteReference w:id="47"/>
      </w:r>
      <w:r>
        <w:rPr>
          <w:u w:color="000080"/>
        </w:rPr>
        <w:t xml:space="preserve">. Cette mutation constitutionnelle vaut passage de relais, ou pour le </w:t>
      </w:r>
      <w:r>
        <w:rPr>
          <w:u w:color="000080"/>
        </w:rPr>
        <w:t>dire autrement, un modèle chasse l’autre (A). Toutefois, pour éviter de céder à un nominalisme trompeur, la République doit s’incarner pour acquérir sa propre substance (B).</w:t>
      </w:r>
    </w:p>
    <w:p w:rsidR="002A1272" w:rsidRDefault="002A1272">
      <w:pPr>
        <w:pStyle w:val="Standard"/>
        <w:jc w:val="both"/>
        <w:rPr>
          <w:u w:color="000080"/>
        </w:rPr>
      </w:pPr>
    </w:p>
    <w:p w:rsidR="002A1272" w:rsidRDefault="000D1194">
      <w:pPr>
        <w:pStyle w:val="Standard"/>
        <w:jc w:val="both"/>
        <w:rPr>
          <w:u w:color="000080"/>
        </w:rPr>
      </w:pPr>
      <w:r>
        <w:rPr>
          <w:u w:color="000080"/>
        </w:rPr>
        <w:t>A) L’avènement de la République mauricienne : un modèle chasse l’autre</w:t>
      </w:r>
    </w:p>
    <w:p w:rsidR="002A1272" w:rsidRDefault="002A1272">
      <w:pPr>
        <w:pStyle w:val="Standard"/>
        <w:jc w:val="both"/>
        <w:rPr>
          <w:u w:color="000080"/>
        </w:rPr>
      </w:pPr>
    </w:p>
    <w:p w:rsidR="002A1272" w:rsidRDefault="000D1194">
      <w:pPr>
        <w:pStyle w:val="Standard"/>
        <w:jc w:val="both"/>
        <w:rPr>
          <w:u w:color="000080"/>
        </w:rPr>
      </w:pPr>
      <w:r>
        <w:rPr>
          <w:u w:color="000080"/>
        </w:rPr>
        <w:tab/>
        <w:t>La premi</w:t>
      </w:r>
      <w:r>
        <w:rPr>
          <w:u w:color="000080"/>
        </w:rPr>
        <w:t>ère tentative avortée en décembre 1983 de révision constitutionnelle visant à inscrire le caractère républicain de l’Etat mauricien dans la Constitution s’inscrit dans le prolongement d’une aspiration prenant corps au milieu des années 1970 dans les partis</w:t>
      </w:r>
      <w:r>
        <w:rPr>
          <w:u w:color="000080"/>
        </w:rPr>
        <w:t xml:space="preserve"> de gauche ou récemment créés comme le Mouvement Militant Mauricien (M.M.M.). La période suivante est également marquée par des dissensions quant au régime politique adossé à la République. Faut-il qu’elle s’acclimate au modèle de Westminter ou bien doit-e</w:t>
      </w:r>
      <w:r>
        <w:rPr>
          <w:u w:color="000080"/>
        </w:rPr>
        <w:t>lle aller chercher l’inspiration dans un contre-modèle forgé à partir de l’exemple français ? Ces interrogations augmentées de divisions internes au camp républicain sont à l’origine du « parcours difficile »</w:t>
      </w:r>
      <w:r>
        <w:rPr>
          <w:u w:color="000080"/>
          <w:vertAlign w:val="superscript"/>
        </w:rPr>
        <w:footnoteReference w:id="48"/>
      </w:r>
      <w:r>
        <w:rPr>
          <w:u w:color="000080"/>
        </w:rPr>
        <w:t xml:space="preserve"> conduisant à l’avènement de la République, com</w:t>
      </w:r>
      <w:r>
        <w:rPr>
          <w:u w:color="000080"/>
        </w:rPr>
        <w:t>me l’atteste le retrait d’un amendement en ce sens en août 1990, quand « avant le vote (…) on s’est rendu compte qu’il manquerait probablement une voix pour qu’il soit adopté. En définitive, il faut une courte attente d’un an pour que soit adopté l’Acte n°</w:t>
      </w:r>
      <w:r>
        <w:rPr>
          <w:u w:color="000080"/>
        </w:rPr>
        <w:t>48, « Republic Constitutional amendments », ajoutant au caractère démocratique de l’Etat mauricien un caractère républicain.</w:t>
      </w:r>
    </w:p>
    <w:p w:rsidR="002A1272" w:rsidRDefault="002A1272">
      <w:pPr>
        <w:pStyle w:val="Standard"/>
        <w:jc w:val="both"/>
        <w:rPr>
          <w:u w:color="000080"/>
        </w:rPr>
      </w:pPr>
    </w:p>
    <w:p w:rsidR="002A1272" w:rsidRDefault="000D1194">
      <w:pPr>
        <w:pStyle w:val="Standard"/>
        <w:jc w:val="both"/>
        <w:rPr>
          <w:u w:color="000080"/>
        </w:rPr>
      </w:pPr>
      <w:r>
        <w:rPr>
          <w:u w:color="000080"/>
        </w:rPr>
        <w:tab/>
        <w:t>Dans l</w:t>
      </w:r>
      <w:r>
        <w:rPr>
          <w:u w:color="000080"/>
        </w:rPr>
        <w:t>’histoire politique française, la République est le costume institutionnel de la profonde aspiration du peuple français à l</w:t>
      </w:r>
      <w:r>
        <w:rPr>
          <w:u w:color="000080"/>
        </w:rPr>
        <w:t>’égalité, sans qu’il besoin ici de renvoyer à sa devise. Or, pour paraphraser Jaurès elle porte en elle l’égalité comme la nuée l’orage, si bien que cette dimension a largement contribué à la plus large adhésion possible quant à son adoption au début des a</w:t>
      </w:r>
      <w:r>
        <w:rPr>
          <w:u w:color="000080"/>
        </w:rPr>
        <w:t>nnées 1990. En d’autres termes, l’appel à la République a prospéré sur l’application limitée du principe d’égalité</w:t>
      </w:r>
      <w:r>
        <w:rPr>
          <w:u w:color="000080"/>
          <w:vertAlign w:val="superscript"/>
        </w:rPr>
        <w:footnoteReference w:id="49"/>
      </w:r>
      <w:r>
        <w:rPr>
          <w:u w:color="000080"/>
        </w:rPr>
        <w:t>. Ainsi, alors que dix ans plus tôt la revendication républicaine « apparaissait comme révolutionnaire ou à tout le moins provocatrice. En 19</w:t>
      </w:r>
      <w:r>
        <w:rPr>
          <w:u w:color="000080"/>
        </w:rPr>
        <w:t>92, elle fait l’objet d’un consensus général »</w:t>
      </w:r>
      <w:r>
        <w:rPr>
          <w:u w:color="000080"/>
          <w:vertAlign w:val="superscript"/>
        </w:rPr>
        <w:footnoteReference w:id="50"/>
      </w:r>
      <w:r>
        <w:rPr>
          <w:u w:color="000080"/>
        </w:rPr>
        <w:t>, après que les élections générales de 1991 aient permis l’émergence d’une majorité politique favorable à cette transformation</w:t>
      </w:r>
      <w:r>
        <w:rPr>
          <w:u w:color="000080"/>
          <w:vertAlign w:val="superscript"/>
        </w:rPr>
        <w:footnoteReference w:id="51"/>
      </w:r>
      <w:r>
        <w:rPr>
          <w:u w:color="000080"/>
        </w:rPr>
        <w:t>.</w:t>
      </w:r>
    </w:p>
    <w:p w:rsidR="002A1272" w:rsidRDefault="002A1272">
      <w:pPr>
        <w:pStyle w:val="Standard"/>
        <w:jc w:val="both"/>
        <w:rPr>
          <w:u w:color="000080"/>
        </w:rPr>
      </w:pPr>
    </w:p>
    <w:p w:rsidR="002A1272" w:rsidRDefault="000D1194">
      <w:pPr>
        <w:pStyle w:val="Standard"/>
        <w:jc w:val="both"/>
        <w:rPr>
          <w:u w:color="000080"/>
        </w:rPr>
      </w:pPr>
      <w:r>
        <w:rPr>
          <w:u w:color="000080"/>
        </w:rPr>
        <w:tab/>
        <w:t>Cette transformation de l</w:t>
      </w:r>
      <w:r>
        <w:rPr>
          <w:u w:color="000080"/>
        </w:rPr>
        <w:t>’Etat mauricien en République permet de tester un cer</w:t>
      </w:r>
      <w:r>
        <w:rPr>
          <w:u w:color="000080"/>
        </w:rPr>
        <w:t xml:space="preserve">tain nombre d’idées reçues ou de tendances observées s’agissant de l’influence exercée par l’environnement juridique de l’ancien colonisateur sur l’Etat nouvellement indépendant. En premier lieu, « l’influence du droit diminue nécessairement et fatalement </w:t>
      </w:r>
      <w:r>
        <w:rPr>
          <w:u w:color="000080"/>
        </w:rPr>
        <w:t>avec le temps »</w:t>
      </w:r>
      <w:r>
        <w:rPr>
          <w:u w:color="000080"/>
          <w:vertAlign w:val="superscript"/>
        </w:rPr>
        <w:footnoteReference w:id="52"/>
      </w:r>
      <w:r>
        <w:rPr>
          <w:u w:color="000080"/>
        </w:rPr>
        <w:t>. L’assertion se vérifie ici, la monarchie constitutionnelle étant chassée par la République, avec ce contrepoint, « qu’on ne peut non plus négliger qu’au fur et à mesure que s’éloigne le souvenir de l’ancienne domination coloniale et des l</w:t>
      </w:r>
      <w:r>
        <w:rPr>
          <w:u w:color="000080"/>
        </w:rPr>
        <w:t>uttes nécessaires pour s’en délivrer, les vieilles rancunes s’évanouissent et, avec elles, le souci de rompre avec les codes légués »</w:t>
      </w:r>
      <w:r>
        <w:rPr>
          <w:u w:color="000080"/>
          <w:vertAlign w:val="superscript"/>
        </w:rPr>
        <w:footnoteReference w:id="53"/>
      </w:r>
      <w:r>
        <w:rPr>
          <w:u w:color="000080"/>
        </w:rPr>
        <w:t>. D’évidence, la colonisation par le Royaume-Uni ayant succédé à celle exercée par la France, le recul de celui-là bénéfic</w:t>
      </w:r>
      <w:r>
        <w:rPr>
          <w:u w:color="000080"/>
        </w:rPr>
        <w:t>ie à celle-ci (vérifier l’ordre XXX). Le droit mauricien n’est pas ainsi exclusivement le fruit d’un alliage entre le droit britannique et français en matière privée</w:t>
      </w:r>
      <w:r>
        <w:rPr>
          <w:u w:color="000080"/>
          <w:vertAlign w:val="superscript"/>
        </w:rPr>
        <w:footnoteReference w:id="54"/>
      </w:r>
      <w:r>
        <w:rPr>
          <w:u w:color="000080"/>
        </w:rPr>
        <w:t>, mais également s’agissant du droit public.</w:t>
      </w:r>
    </w:p>
    <w:p w:rsidR="002A1272" w:rsidRDefault="002A1272">
      <w:pPr>
        <w:pStyle w:val="Standard"/>
        <w:jc w:val="both"/>
        <w:rPr>
          <w:u w:color="000080"/>
        </w:rPr>
      </w:pPr>
    </w:p>
    <w:p w:rsidR="002A1272" w:rsidRDefault="000D1194">
      <w:pPr>
        <w:pStyle w:val="Standard"/>
        <w:jc w:val="both"/>
        <w:rPr>
          <w:u w:color="000080"/>
        </w:rPr>
      </w:pPr>
      <w:r>
        <w:rPr>
          <w:u w:color="000080"/>
        </w:rPr>
        <w:tab/>
        <w:t>D</w:t>
      </w:r>
      <w:r>
        <w:rPr>
          <w:u w:color="000080"/>
        </w:rPr>
        <w:t>’autres idées reçues peuvent être confront</w:t>
      </w:r>
      <w:r>
        <w:rPr>
          <w:u w:color="000080"/>
        </w:rPr>
        <w:t>ées à l’expérience mauricienne</w:t>
      </w:r>
      <w:r>
        <w:rPr>
          <w:u w:color="000080"/>
          <w:vertAlign w:val="superscript"/>
        </w:rPr>
        <w:footnoteReference w:id="55"/>
      </w:r>
      <w:r>
        <w:rPr>
          <w:u w:color="000080"/>
        </w:rPr>
        <w:t xml:space="preserve">, et parmi celles-ci l’une mérite que l’on s’y attarde, dans le prolongement de la précédente : elle « consiste à imaginer que </w:t>
      </w:r>
      <w:r>
        <w:rPr>
          <w:i/>
          <w:iCs/>
          <w:u w:color="000080"/>
        </w:rPr>
        <w:t xml:space="preserve">l’influence du droit français </w:t>
      </w:r>
      <w:r>
        <w:rPr>
          <w:u w:color="000080"/>
        </w:rPr>
        <w:t>dans les pays anciennement colonisés</w:t>
      </w:r>
      <w:r>
        <w:rPr>
          <w:i/>
          <w:iCs/>
          <w:u w:color="000080"/>
        </w:rPr>
        <w:t xml:space="preserve">, tiendrait </w:t>
      </w:r>
      <w:r>
        <w:rPr>
          <w:u w:color="000080"/>
        </w:rPr>
        <w:t xml:space="preserve">en quelque sorte </w:t>
      </w:r>
      <w:r>
        <w:rPr>
          <w:i/>
          <w:iCs/>
          <w:u w:color="000080"/>
        </w:rPr>
        <w:t>à l</w:t>
      </w:r>
      <w:r>
        <w:rPr>
          <w:i/>
          <w:iCs/>
          <w:u w:color="000080"/>
        </w:rPr>
        <w:t>’impulsion reçue à l’époque de la colonisation et serait donc nécessairement condamnée à s’atténuer avec le temps</w:t>
      </w:r>
      <w:r>
        <w:rPr>
          <w:u w:color="000080"/>
        </w:rPr>
        <w:t> »</w:t>
      </w:r>
      <w:r>
        <w:rPr>
          <w:u w:color="000080"/>
          <w:vertAlign w:val="superscript"/>
        </w:rPr>
        <w:footnoteReference w:id="56"/>
      </w:r>
      <w:r>
        <w:rPr>
          <w:u w:color="000080"/>
        </w:rPr>
        <w:t xml:space="preserve">. Bien entendu, il convient de se garder de tout anachronisme, le constituant mauricien ne puise pas dans la République agonisante sous les </w:t>
      </w:r>
      <w:r>
        <w:rPr>
          <w:u w:color="000080"/>
        </w:rPr>
        <w:t xml:space="preserve">coups de butoir du Consulat et dévoyée par l’Empire les sources de son inspiration au temps où île était française (XXX date). De sorte qu’à proprement parlé, l’ancien colonisé ne reprend pas, à la différence de 1968, le modèle du colonisateur du temps de </w:t>
      </w:r>
      <w:r>
        <w:rPr>
          <w:u w:color="000080"/>
        </w:rPr>
        <w:t xml:space="preserve">son emprise, il s’agit davantage de s’inscrire dans une tradition constitutionnelle à laquelle est assimilée un lointain colonisateur. Il reste, qu’à l’instar de nombreux Etats africains, on assiste « au retour </w:t>
      </w:r>
      <w:r>
        <w:rPr>
          <w:u w:color="000080"/>
        </w:rPr>
        <w:t>des forces des mécanismes caractéristiques de</w:t>
      </w:r>
      <w:r>
        <w:rPr>
          <w:u w:color="000080"/>
        </w:rPr>
        <w:t xml:space="preserve"> l’ancienne métropole, marqués par la domination d’un président élu au suffrage universel, par un Premier ministre qui joue le plus souvent de</w:t>
      </w:r>
      <w:r>
        <w:rPr>
          <w:u w:color="000080"/>
        </w:rPr>
        <w:t xml:space="preserve"> </w:t>
      </w:r>
      <w:r>
        <w:rPr>
          <w:u w:color="000080"/>
        </w:rPr>
        <w:t>rôle de fusible, par deux assemblées fortement contrôlées grâce aux procédures caractéristiques du parlementarism</w:t>
      </w:r>
      <w:r>
        <w:rPr>
          <w:u w:color="000080"/>
        </w:rPr>
        <w:t>e rationalisé</w:t>
      </w:r>
      <w:r>
        <w:rPr>
          <w:u w:color="000080"/>
        </w:rPr>
        <w:t>… »</w:t>
      </w:r>
      <w:r>
        <w:rPr>
          <w:u w:color="000080"/>
          <w:vertAlign w:val="superscript"/>
        </w:rPr>
        <w:footnoteReference w:id="57"/>
      </w:r>
      <w:r>
        <w:rPr>
          <w:u w:color="000080"/>
        </w:rPr>
        <w:t>. Certes, la Constitution mauricienne est loin de reprendre fidèlement ces divers traits distinctifs du système politique et constitutionnel français, il n’en demeure pas moins qu’elle participe à sa manière à ce surgeon juridique français</w:t>
      </w:r>
      <w:r>
        <w:rPr>
          <w:u w:color="000080"/>
        </w:rPr>
        <w:t xml:space="preserve"> dans l’océan Indien. Faut-il pour autant en relativiser la portée à la manière de Charles Cadoux jugeant que « le passage de la monarchie constitutionnelle (britannique) à la République Mauricienne (…) ne change rien au fonctionnement du régime »</w:t>
      </w:r>
      <w:r>
        <w:rPr>
          <w:u w:color="000080"/>
          <w:vertAlign w:val="superscript"/>
        </w:rPr>
        <w:footnoteReference w:id="58"/>
      </w:r>
      <w:r>
        <w:rPr>
          <w:u w:color="000080"/>
        </w:rPr>
        <w:t xml:space="preserve"> ? En ré</w:t>
      </w:r>
      <w:r>
        <w:rPr>
          <w:u w:color="000080"/>
        </w:rPr>
        <w:t>alité, si le constituant a pu céder au nominalisme, les vertus performatives du droit constitutionnel ne sont plus à démontrer en sorte que l’adjonction du caractère républicain au caractère démocratique de l’Etat est susceptible d’y donner corps.</w:t>
      </w:r>
    </w:p>
    <w:p w:rsidR="002A1272" w:rsidRDefault="002A1272">
      <w:pPr>
        <w:pStyle w:val="Standard"/>
        <w:jc w:val="both"/>
        <w:rPr>
          <w:u w:color="000080"/>
        </w:rPr>
      </w:pPr>
    </w:p>
    <w:p w:rsidR="002A1272" w:rsidRDefault="000D1194">
      <w:pPr>
        <w:pStyle w:val="Standard"/>
        <w:jc w:val="both"/>
        <w:rPr>
          <w:u w:color="000080"/>
        </w:rPr>
      </w:pPr>
      <w:r>
        <w:rPr>
          <w:u w:color="000080"/>
        </w:rPr>
        <w:t>B) Donn</w:t>
      </w:r>
      <w:r>
        <w:rPr>
          <w:u w:color="000080"/>
        </w:rPr>
        <w:t>er corps à la République : de modèle en modèle</w:t>
      </w:r>
    </w:p>
    <w:p w:rsidR="002A1272" w:rsidRDefault="002A1272">
      <w:pPr>
        <w:pStyle w:val="Standard"/>
        <w:jc w:val="both"/>
        <w:rPr>
          <w:u w:color="000080"/>
        </w:rPr>
      </w:pPr>
    </w:p>
    <w:p w:rsidR="002A1272" w:rsidRDefault="000D1194">
      <w:pPr>
        <w:pStyle w:val="Standard"/>
        <w:jc w:val="both"/>
        <w:rPr>
          <w:u w:color="000080"/>
        </w:rPr>
      </w:pPr>
      <w:r>
        <w:rPr>
          <w:u w:color="000080"/>
        </w:rPr>
        <w:tab/>
        <w:t>Au regard des particularit</w:t>
      </w:r>
      <w:r>
        <w:rPr>
          <w:u w:color="000080"/>
        </w:rPr>
        <w:t xml:space="preserve">és de la Constitution originale, tenant en particulier dans l’existence d’un Gouverneur général, l’affirmation d’une République mauricienne s’accompagne de  changements </w:t>
      </w:r>
      <w:r>
        <w:rPr>
          <w:u w:color="000080"/>
        </w:rPr>
        <w:t>constitutionnel y afférent. C’est ainsi que cette figure de l’ancien monde, est remplacée presque à la symétrie de notre temps par le Président de la République, de la manière la plus simple qu'il soit, le chapitre IV de la Constitution consacré au Gouvern</w:t>
      </w:r>
      <w:r>
        <w:rPr>
          <w:u w:color="000080"/>
        </w:rPr>
        <w:t>eur général abrite à partir du 12 mars 1992 les dispositions relatives au Président de la République. D’une certaine manière, l’exécutif devient autocéphale en ce sens qu’il ne s’ancre pas sur la Couronne par l’intermédiaire du Gouverneur général. L’articl</w:t>
      </w:r>
      <w:r>
        <w:rPr>
          <w:u w:color="000080"/>
        </w:rPr>
        <w:t>e 58-1 pose ainsi : « Le Président est investi du pouvoir exécutif de Maurice ». Cette rupture, cette coupure du cordon ombilical monarchique serait-on tenté d’écrire, est, avec l’affirmation fondamentale de l’article 1er, la manifestation la plus sensible</w:t>
      </w:r>
      <w:r>
        <w:rPr>
          <w:u w:color="000080"/>
        </w:rPr>
        <w:t xml:space="preserve"> de la transformation du régime: l’Exécutif n’a plus son siège dans l’ancienne métropole</w:t>
      </w:r>
      <w:r>
        <w:rPr>
          <w:u w:color="000080"/>
          <w:vertAlign w:val="superscript"/>
        </w:rPr>
        <w:footnoteReference w:id="59"/>
      </w:r>
      <w:r>
        <w:rPr>
          <w:u w:color="000080"/>
        </w:rPr>
        <w:t>, mais dans la fonction présidentielle. Sur un registre identique, l’article 28 prévoit qu’il « est le Chef de l’Etat et le Commandant en Chef de la République de Maur</w:t>
      </w:r>
      <w:r>
        <w:rPr>
          <w:u w:color="000080"/>
        </w:rPr>
        <w:t>ice ».</w:t>
      </w:r>
    </w:p>
    <w:p w:rsidR="002A1272" w:rsidRDefault="002A1272">
      <w:pPr>
        <w:pStyle w:val="Standard"/>
        <w:jc w:val="both"/>
        <w:rPr>
          <w:u w:color="000080"/>
        </w:rPr>
      </w:pPr>
    </w:p>
    <w:p w:rsidR="002A1272" w:rsidRDefault="000D1194">
      <w:pPr>
        <w:pStyle w:val="Standard"/>
        <w:jc w:val="both"/>
        <w:rPr>
          <w:u w:color="000080"/>
        </w:rPr>
      </w:pPr>
      <w:r>
        <w:rPr>
          <w:u w:color="000080"/>
        </w:rPr>
        <w:tab/>
        <w:t>Un corps politique et institutionnel est donn</w:t>
      </w:r>
      <w:r>
        <w:rPr>
          <w:u w:color="000080"/>
        </w:rPr>
        <w:t xml:space="preserve">é au régime républicain mauricien, encore faut-il que cette incarnation nouvelle ait une certaine épaisseur. Suivant les principes classiques des régimes parlementaires, le Président tire sa légitimité </w:t>
      </w:r>
      <w:r>
        <w:rPr>
          <w:u w:color="000080"/>
        </w:rPr>
        <w:t>de l’Assemblée qui l’élit à la majorité de ses membres sur proposition du Premier ministre. La durée de son mandat, renouvelable sans limitation, épouse la législature puisqu’elle est de 5 ans. De sorte que le processus de légitimation offre le profil d’un</w:t>
      </w:r>
      <w:r>
        <w:rPr>
          <w:u w:color="000080"/>
        </w:rPr>
        <w:t>e pyramide inversée, le Président procède de l’Assemblée - tout comme le Premier ministre et le gouvernement-, laquelle procède à son tour des citoyens</w:t>
      </w:r>
      <w:r>
        <w:rPr>
          <w:u w:color="000080"/>
          <w:vertAlign w:val="superscript"/>
        </w:rPr>
        <w:footnoteReference w:id="60"/>
      </w:r>
      <w:r>
        <w:rPr>
          <w:u w:color="000080"/>
        </w:rPr>
        <w:t>. De manière originale, un Vice-Président, désigné de la même manière que le Président « exerce les fonc</w:t>
      </w:r>
      <w:r>
        <w:rPr>
          <w:u w:color="000080"/>
        </w:rPr>
        <w:t>tions que le Président lui attribue »</w:t>
      </w:r>
      <w:r>
        <w:rPr>
          <w:u w:color="000080"/>
          <w:vertAlign w:val="superscript"/>
        </w:rPr>
        <w:footnoteReference w:id="61"/>
      </w:r>
      <w:r>
        <w:rPr>
          <w:u w:color="000080"/>
        </w:rPr>
        <w:t>. Sa présence comme l’expression plus haut de « Commandant en Chef » dit assez l’influence du régime présidentiel états-unien. Ce régime parlementaire est coiffé d’un exécutif emblématique du régime présidentiel ; la c</w:t>
      </w:r>
      <w:r>
        <w:rPr>
          <w:u w:color="000080"/>
        </w:rPr>
        <w:t>réature du constituant est faite d'une tête présidentielle greffé sur un corps parlementaire. Le parallèle s’impose d’autant plus qu’une procédure de révocation à l’emprise élargie peut être engagée aussi bien à l’encontre du Président que du Vice Présiden</w:t>
      </w:r>
      <w:r>
        <w:rPr>
          <w:u w:color="000080"/>
        </w:rPr>
        <w:t>t sans préjudice d’un régime d’immunité protecteur</w:t>
      </w:r>
      <w:r>
        <w:rPr>
          <w:u w:color="000080"/>
          <w:vertAlign w:val="superscript"/>
        </w:rPr>
        <w:footnoteReference w:id="62"/>
      </w:r>
      <w:r>
        <w:rPr>
          <w:u w:color="000080"/>
        </w:rPr>
        <w:t>; l’immunité n’est pas  comme sait l’impunité.</w:t>
      </w:r>
    </w:p>
    <w:p w:rsidR="002A1272" w:rsidRDefault="002A1272">
      <w:pPr>
        <w:pStyle w:val="Standard"/>
        <w:jc w:val="both"/>
        <w:rPr>
          <w:u w:color="000080"/>
        </w:rPr>
      </w:pPr>
    </w:p>
    <w:p w:rsidR="002A1272" w:rsidRDefault="000D1194">
      <w:pPr>
        <w:pStyle w:val="Standard"/>
        <w:jc w:val="both"/>
        <w:rPr>
          <w:u w:color="000080"/>
        </w:rPr>
      </w:pPr>
      <w:r>
        <w:rPr>
          <w:u w:color="000080"/>
        </w:rPr>
        <w:tab/>
        <w:t>Toutefois, la pr</w:t>
      </w:r>
      <w:r>
        <w:rPr>
          <w:u w:color="000080"/>
        </w:rPr>
        <w:t>ésence originale de l’attelage Président/Vice-Président ne doit pas tromper, la réalité du pouvoir exécutif relève du Premier Ministre, chef</w:t>
      </w:r>
      <w:r>
        <w:rPr>
          <w:u w:color="000080"/>
        </w:rPr>
        <w:t xml:space="preserve"> de la majorité parlementaire, nommé par le Président toujours en sa qualité de « député qui lui semble le plus susceptible d’obtenir le soutien de la majorité des membres de l’Assemblée »</w:t>
      </w:r>
      <w:r>
        <w:rPr>
          <w:u w:color="000080"/>
          <w:vertAlign w:val="superscript"/>
        </w:rPr>
        <w:footnoteReference w:id="63"/>
      </w:r>
      <w:r>
        <w:rPr>
          <w:u w:color="000080"/>
        </w:rPr>
        <w:t>. S’agissant de la formation du gouvernement, le pouvoir de nominat</w:t>
      </w:r>
      <w:r>
        <w:rPr>
          <w:u w:color="000080"/>
        </w:rPr>
        <w:t>ion revient formellement au Président « sur avis conforme du Premier ministre »</w:t>
      </w:r>
      <w:r>
        <w:rPr>
          <w:u w:color="000080"/>
          <w:vertAlign w:val="superscript"/>
        </w:rPr>
        <w:footnoteReference w:id="64"/>
      </w:r>
      <w:r>
        <w:rPr>
          <w:u w:color="000080"/>
        </w:rPr>
        <w:t>. Ce parlementarisme classiquement moniste reste le trait dominant de ce syncrétisme constitutionnel ou plus que la figure d’un Président de la République « à la française » s’</w:t>
      </w:r>
      <w:r>
        <w:rPr>
          <w:u w:color="000080"/>
        </w:rPr>
        <w:t>impose à la tête de l’Etat celle d’un équivalent monarchique, le Président préside, mais ne gouverne pas. L’observation ressort du devoir d’information qui pèse sur le Premier Ministre pour « tout ce qui à trait à la conduite générale du Gouvernement de Ma</w:t>
      </w:r>
      <w:r>
        <w:rPr>
          <w:u w:color="000080"/>
        </w:rPr>
        <w:t>urice »</w:t>
      </w:r>
      <w:r>
        <w:rPr>
          <w:u w:color="000080"/>
          <w:vertAlign w:val="superscript"/>
        </w:rPr>
        <w:footnoteReference w:id="65"/>
      </w:r>
      <w:r>
        <w:rPr>
          <w:u w:color="000080"/>
        </w:rPr>
        <w:t>. Au fond sa plus importante prérogative tient, comme le monarque constitutionnel, dans une dissolution de l’Assemblée qu’il peut à tout moment prononcer « sur avis conforme du Premier ministre ».</w:t>
      </w:r>
    </w:p>
    <w:p w:rsidR="002A1272" w:rsidRDefault="002A1272">
      <w:pPr>
        <w:pStyle w:val="Standard"/>
        <w:jc w:val="both"/>
        <w:rPr>
          <w:u w:color="000080"/>
        </w:rPr>
      </w:pPr>
    </w:p>
    <w:p w:rsidR="002A1272" w:rsidRDefault="000D1194">
      <w:pPr>
        <w:pStyle w:val="Standard"/>
        <w:jc w:val="both"/>
        <w:rPr>
          <w:u w:color="000080"/>
        </w:rPr>
      </w:pPr>
      <w:r>
        <w:rPr>
          <w:u w:color="000080"/>
        </w:rPr>
        <w:tab/>
        <w:t>Au final, il ressort d</w:t>
      </w:r>
      <w:r>
        <w:rPr>
          <w:u w:color="000080"/>
        </w:rPr>
        <w:t>’une lecture comparée entre</w:t>
      </w:r>
      <w:r>
        <w:rPr>
          <w:u w:color="000080"/>
        </w:rPr>
        <w:t xml:space="preserve"> la Constitution de 1968 et celle de 1992 que le constituant a procédé à un changement (que l’on qualifierait en langage sportif de poste pour poste) entre le Gouverneur général et le Président de la République. Au point que l’article consacré à la suppléa</w:t>
      </w:r>
      <w:r>
        <w:rPr>
          <w:u w:color="000080"/>
        </w:rPr>
        <w:t>nce du premier (art. 29 de la Constitution) ouvre la voie à la fonction de Vice-Président. Cette faible densité constitutionnelle de la fonction présidentielle nourrit des propositions de réforme. Loin d’être l’alpha et l’omega de la vie politique et insti</w:t>
      </w:r>
      <w:r>
        <w:rPr>
          <w:u w:color="000080"/>
        </w:rPr>
        <w:t>tutionnelle à tout le moins peut-il prétendre incarner une point fixe dans le ciel constitutionnel mauricien. Pour ce faire, c</w:t>
      </w:r>
      <w:r>
        <w:rPr>
          <w:u w:color="000080"/>
        </w:rPr>
        <w:t>omme l’analyse Milan</w:t>
      </w:r>
      <w:r>
        <w:rPr>
          <w:u w:color="000080"/>
        </w:rPr>
        <w:t xml:space="preserve"> JN</w:t>
      </w:r>
      <w:r>
        <w:rPr>
          <w:u w:color="000080"/>
        </w:rPr>
        <w:t xml:space="preserve"> Meeta</w:t>
      </w:r>
      <w:r>
        <w:rPr>
          <w:u w:color="000080"/>
        </w:rPr>
        <w:t>r</w:t>
      </w:r>
      <w:r>
        <w:rPr>
          <w:u w:color="000080"/>
        </w:rPr>
        <w:t>b</w:t>
      </w:r>
      <w:r>
        <w:rPr>
          <w:u w:color="000080"/>
        </w:rPr>
        <w:t>h</w:t>
      </w:r>
      <w:r>
        <w:rPr>
          <w:u w:color="000080"/>
        </w:rPr>
        <w:t>an : « One major area of reforme that should be considered is the mode of election of cher Preside</w:t>
      </w:r>
      <w:r>
        <w:rPr>
          <w:u w:color="000080"/>
        </w:rPr>
        <w:t xml:space="preserve">nt ». Une réflexion sur sa désignation </w:t>
      </w:r>
      <w:r>
        <w:rPr>
          <w:u w:color="000080"/>
        </w:rPr>
        <w:t>s’est</w:t>
      </w:r>
      <w:r>
        <w:rPr>
          <w:u w:color="000080"/>
        </w:rPr>
        <w:t xml:space="preserve"> </w:t>
      </w:r>
      <w:r>
        <w:rPr>
          <w:u w:color="000080"/>
        </w:rPr>
        <w:t xml:space="preserve">ainsi </w:t>
      </w:r>
      <w:r>
        <w:rPr>
          <w:u w:color="000080"/>
        </w:rPr>
        <w:t>engagée, « the mode of election of the President  must be reviewed if an allocation of power leading to a healthier democracry is to be sustained »</w:t>
      </w:r>
      <w:r>
        <w:rPr>
          <w:u w:color="000080"/>
        </w:rPr>
        <w:t>. Alors qu’en France les propositions de révision visant à</w:t>
      </w:r>
      <w:r>
        <w:rPr>
          <w:u w:color="000080"/>
        </w:rPr>
        <w:t xml:space="preserve"> rééquilibrer les pouvoirs au sein de l’exécutif au bénéfice du Premier ministre, en raison de sa responsabilité politique et de son défaut s’agissant du chef de l’Etat, se fanent aussi rapidement qu’elle fleurissent depuis près de 30 ans, à Maurice une pe</w:t>
      </w:r>
      <w:r>
        <w:rPr>
          <w:u w:color="000080"/>
        </w:rPr>
        <w:t>rspective inverse prévaut. L’objectif vise ici à assurer un transfert de pouvoir au sein du pôle législatif favorable au Président de la République, consécutif à un accroissement de sa légitimité. En d’autres termes, la réforme du mode de désignation du Ch</w:t>
      </w:r>
      <w:r>
        <w:rPr>
          <w:u w:color="000080"/>
        </w:rPr>
        <w:t>ef de l’Etat est un moyen, non une fin. Difficile à envisager en présence du représentant de la Couronne, elle tend à faire de la fonction présidentielle un pôle de stabilité, dominant de sa hauteur le gouvernement et l’Assemblée. De sorte que cet alizé de</w:t>
      </w:r>
      <w:r>
        <w:rPr>
          <w:u w:color="000080"/>
        </w:rPr>
        <w:t xml:space="preserve"> réforme soufflant sur Maurice renvoie à la Vème République des débuts, celle du Président arbitre au-dessus des partis et en tout état de cause détaché de la majorité parlementaire pour échapper à son emprise.</w:t>
      </w:r>
    </w:p>
    <w:p w:rsidR="002A1272" w:rsidRDefault="002A1272">
      <w:pPr>
        <w:pStyle w:val="Standard"/>
        <w:jc w:val="both"/>
        <w:rPr>
          <w:u w:color="000080"/>
        </w:rPr>
      </w:pPr>
    </w:p>
    <w:p w:rsidR="002A1272" w:rsidRDefault="000D1194">
      <w:pPr>
        <w:pStyle w:val="Standard"/>
        <w:jc w:val="both"/>
        <w:rPr>
          <w:u w:color="000080"/>
        </w:rPr>
      </w:pPr>
      <w:r>
        <w:rPr>
          <w:u w:color="000080"/>
        </w:rPr>
        <w:tab/>
        <w:t xml:space="preserve">Toutefois, il est </w:t>
      </w:r>
      <w:r>
        <w:rPr>
          <w:u w:color="000080"/>
        </w:rPr>
        <w:t xml:space="preserve">à craindre qu’à l’instar </w:t>
      </w:r>
      <w:r>
        <w:rPr>
          <w:u w:color="000080"/>
        </w:rPr>
        <w:t>de la République française, l’élection du Président de la république au suffrage universel direct ne vienne substituer un déséquilibre à l’autre. Cette éventualité n’a pas dissuadé le Parti travailliste, alors dans l’opposition, de proposer en décembre 199</w:t>
      </w:r>
      <w:r>
        <w:rPr>
          <w:u w:color="000080"/>
        </w:rPr>
        <w:t>1 un tel procédé. A nouveau et à la faveur des élections générales de 2014, « an alliance of two of the main political parties campaigned on a proposal to amend the Constitution to provide for election of the Président  by universel suffrage and confer add</w:t>
      </w:r>
      <w:r>
        <w:rPr>
          <w:u w:color="000080"/>
        </w:rPr>
        <w:t>itional powers of the President »</w:t>
      </w:r>
      <w:r>
        <w:rPr>
          <w:u w:color="000080"/>
          <w:vertAlign w:val="superscript"/>
        </w:rPr>
        <w:footnoteReference w:id="66"/>
      </w:r>
      <w:r>
        <w:rPr>
          <w:u w:color="000080"/>
        </w:rPr>
        <w:t>. Pour autant, une élection au suffrage universel direct est susceptible d’attiser des fractures interethniques. Aussi, les regards des constitutionnalistes mauriciens se tournent-ils vers la Constitution de Singapour prév</w:t>
      </w:r>
      <w:r>
        <w:rPr>
          <w:u w:color="000080"/>
        </w:rPr>
        <w:t>oyant l’élection du Président dans un environnement culturel et ethnique comparable</w:t>
      </w:r>
      <w:r>
        <w:rPr>
          <w:u w:color="000080"/>
          <w:vertAlign w:val="superscript"/>
        </w:rPr>
        <w:footnoteReference w:id="67"/>
      </w:r>
      <w:r>
        <w:rPr>
          <w:u w:color="000080"/>
        </w:rPr>
        <w:t xml:space="preserve">. Il reste que </w:t>
      </w:r>
      <w:r>
        <w:rPr>
          <w:u w:color="000080"/>
        </w:rPr>
        <w:t xml:space="preserve">la voie est étroite entre l’actuel mode de nomination du Président de la République et </w:t>
      </w:r>
      <w:r>
        <w:rPr>
          <w:u w:color="000080"/>
        </w:rPr>
        <w:t>l’onction populaire. Un suffrage indirect forgé sur un corps électoral</w:t>
      </w:r>
      <w:r>
        <w:rPr>
          <w:u w:color="000080"/>
        </w:rPr>
        <w:t xml:space="preserve"> formé de grands électeurs dépassant le cadre législatif est une option médiane et comme telle raisonnable sous réserve précisément de la timidité sur laquelle elle prospère. Quoi qu’il en soit, il s’agit bien dans un cas comme dans l’autre d’éviter une co</w:t>
      </w:r>
      <w:r>
        <w:rPr>
          <w:u w:color="000080"/>
        </w:rPr>
        <w:t xml:space="preserve">ncentration du pouvoir exécutif. Point ici l’ancienne et persistance méfiance des moeurs républicaines à l’endroit d’un exécutif trop puissante. </w:t>
      </w:r>
    </w:p>
    <w:p w:rsidR="002A1272" w:rsidRDefault="002A1272">
      <w:pPr>
        <w:pStyle w:val="Standard"/>
        <w:jc w:val="both"/>
        <w:rPr>
          <w:u w:color="000080"/>
        </w:rPr>
      </w:pPr>
    </w:p>
    <w:p w:rsidR="002A1272" w:rsidRDefault="002A1272">
      <w:pPr>
        <w:pStyle w:val="Standard"/>
        <w:jc w:val="both"/>
        <w:rPr>
          <w:u w:color="000080"/>
        </w:rPr>
      </w:pPr>
    </w:p>
    <w:p w:rsidR="002A1272" w:rsidRDefault="000D1194">
      <w:pPr>
        <w:pStyle w:val="Standard"/>
        <w:jc w:val="both"/>
        <w:rPr>
          <w:u w:color="000080"/>
        </w:rPr>
      </w:pPr>
      <w:r>
        <w:rPr>
          <w:u w:color="000080"/>
        </w:rPr>
        <w:tab/>
        <w:t>Reliquat de suj</w:t>
      </w:r>
      <w:r>
        <w:rPr>
          <w:u w:color="000080"/>
        </w:rPr>
        <w:t xml:space="preserve">étion juridique le Conseil </w:t>
      </w:r>
    </w:p>
    <w:p w:rsidR="002A1272" w:rsidRDefault="002A1272">
      <w:pPr>
        <w:pStyle w:val="Standard"/>
        <w:jc w:val="both"/>
        <w:rPr>
          <w:u w:color="000080"/>
        </w:rPr>
      </w:pPr>
    </w:p>
    <w:p w:rsidR="002A1272" w:rsidRDefault="002A1272">
      <w:pPr>
        <w:pStyle w:val="Standard"/>
        <w:jc w:val="both"/>
        <w:rPr>
          <w:u w:color="000080"/>
        </w:rPr>
      </w:pPr>
    </w:p>
    <w:p w:rsidR="002A1272" w:rsidRDefault="000D1194">
      <w:pPr>
        <w:pStyle w:val="Standard"/>
        <w:jc w:val="both"/>
        <w:rPr>
          <w:u w:color="000080"/>
        </w:rPr>
      </w:pPr>
      <w:r>
        <w:rPr>
          <w:u w:color="000080"/>
        </w:rPr>
        <w:t>emblemer de la république : le président, modèle français , re</w:t>
      </w:r>
      <w:r>
        <w:rPr>
          <w:u w:color="000080"/>
        </w:rPr>
        <w:t xml:space="preserve">nforcer sa légitimé et ses pouvoirs suivante le période 1958-162, du or arbitre au dessus des partis de sorte qu’à l’heure où la constitution mauricienne célèbre son cinquantenaire, contemporain du soixantième anniversaire de la Constitution due 4 octobre </w:t>
      </w:r>
      <w:r>
        <w:rPr>
          <w:u w:color="000080"/>
        </w:rPr>
        <w:t>1958, la première renvoie à la seconde le reflet de sa jeunesse idéalisée.</w:t>
      </w:r>
    </w:p>
    <w:p w:rsidR="002A1272" w:rsidRDefault="000D1194">
      <w:pPr>
        <w:pStyle w:val="Standard"/>
        <w:jc w:val="both"/>
        <w:rPr>
          <w:u w:color="000080"/>
        </w:rPr>
      </w:pPr>
      <w:r>
        <w:rPr>
          <w:u w:color="000080"/>
        </w:rPr>
        <w:t xml:space="preserve">westminster palais de l’Elysée </w:t>
      </w:r>
    </w:p>
    <w:p w:rsidR="002A1272" w:rsidRDefault="002A1272">
      <w:pPr>
        <w:pStyle w:val="Standard"/>
        <w:jc w:val="both"/>
      </w:pPr>
    </w:p>
    <w:p w:rsidR="002A1272" w:rsidRDefault="002A1272">
      <w:pPr>
        <w:pStyle w:val="Standard"/>
        <w:jc w:val="both"/>
      </w:pPr>
    </w:p>
    <w:p w:rsidR="002A1272" w:rsidRDefault="000D1194">
      <w:pPr>
        <w:pStyle w:val="Standard"/>
        <w:spacing w:line="360" w:lineRule="auto"/>
        <w:ind w:firstLine="708"/>
      </w:pPr>
      <w:r>
        <w:t xml:space="preserve">50 ans après la fondation de la République de Maurice le rejet du modèle formel de la monarchie constitutionnelle tel qu’il a éclos au milieu du </w:t>
      </w:r>
      <w:r>
        <w:t>XVIII</w:t>
      </w:r>
      <w:r>
        <w:rPr>
          <w:vertAlign w:val="superscript"/>
        </w:rPr>
        <w:t>ème</w:t>
      </w:r>
      <w:r>
        <w:t xml:space="preserve"> siècle apparaît comme le fruit naturel de l’histoire et du contexte politique. Sur la base de ce pacte fondateur, la République de Maurice a progressivement repris à son compte l’héritage constitutionnel européen (séparation des pouvoirs, Etat de </w:t>
      </w:r>
      <w:r>
        <w:t>droit, droits fondamentaux) aidé en cela par la justice constitutionnelle et le pouvoir de révision. De sorte qu’elle répond, bien que partiellement, à la définition d’une république sous un angle substantiel. Toutefois, plus que la reproduction d’institut</w:t>
      </w:r>
      <w:r>
        <w:t>ions, de normes et de valeurs, la République de Maurice témoigne d’une adaptation indianocéanique au point d’apparaître et dans une certaine mesure, à son tour comme un modèle pour les Etats de la zone occidentale de l’océan Indien.</w:t>
      </w:r>
    </w:p>
    <w:p w:rsidR="002A1272" w:rsidRDefault="002A1272">
      <w:pPr>
        <w:pStyle w:val="Standard"/>
        <w:spacing w:line="360" w:lineRule="auto"/>
        <w:ind w:firstLine="708"/>
      </w:pPr>
    </w:p>
    <w:sectPr w:rsidR="002A1272">
      <w:headerReference w:type="default" r:id="rId8"/>
      <w:footerReference w:type="default" r:id="rId9"/>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D1194">
      <w:r>
        <w:separator/>
      </w:r>
    </w:p>
  </w:endnote>
  <w:endnote w:type="continuationSeparator" w:id="0">
    <w:p w:rsidR="00000000" w:rsidRDefault="000D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72" w:rsidRDefault="002A1272">
    <w:pPr>
      <w:pStyle w:val="En-tt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272" w:rsidRDefault="000D1194">
      <w:r>
        <w:separator/>
      </w:r>
    </w:p>
  </w:footnote>
  <w:footnote w:type="continuationSeparator" w:id="0">
    <w:p w:rsidR="002A1272" w:rsidRDefault="000D1194">
      <w:r>
        <w:continuationSeparator/>
      </w:r>
    </w:p>
  </w:footnote>
  <w:footnote w:type="continuationNotice" w:id="1">
    <w:p w:rsidR="002A1272" w:rsidRDefault="002A1272"/>
  </w:footnote>
  <w:footnote w:id="2">
    <w:p w:rsidR="002A1272" w:rsidRDefault="000D1194">
      <w:pPr>
        <w:pStyle w:val="Notedebasdepage"/>
        <w:jc w:val="both"/>
      </w:pPr>
      <w:r>
        <w:rPr>
          <w:vertAlign w:val="superscript"/>
        </w:rPr>
        <w:footnoteRef/>
      </w:r>
      <w:r>
        <w:t xml:space="preserve"> L. Favoreu,</w:t>
      </w:r>
      <w:r>
        <w:rPr>
          <w:i/>
          <w:iCs/>
        </w:rPr>
        <w:t xml:space="preserve"> L’île Maurice</w:t>
      </w:r>
      <w:r>
        <w:t>, Encyclopédie politique et constitutionnelle, Institut international d’administration publique, Paris, Berger Levrault, 1970, p. 7.</w:t>
      </w:r>
    </w:p>
  </w:footnote>
  <w:footnote w:id="3">
    <w:p w:rsidR="002A1272" w:rsidRDefault="000D1194">
      <w:pPr>
        <w:pStyle w:val="Notedebasdepage"/>
        <w:jc w:val="both"/>
      </w:pPr>
      <w:r>
        <w:rPr>
          <w:vertAlign w:val="superscript"/>
        </w:rPr>
        <w:footnoteRef/>
      </w:r>
      <w:r>
        <w:t xml:space="preserve"> Issu de l’amendement n°IV, Act n°48, 1</w:t>
      </w:r>
      <w:r>
        <w:t>991.</w:t>
      </w:r>
    </w:p>
  </w:footnote>
  <w:footnote w:id="4">
    <w:p w:rsidR="002A1272" w:rsidRDefault="000D1194">
      <w:pPr>
        <w:pStyle w:val="Notedebasdepage"/>
        <w:jc w:val="both"/>
      </w:pPr>
      <w:r>
        <w:rPr>
          <w:vertAlign w:val="superscript"/>
        </w:rPr>
        <w:footnoteRef/>
      </w:r>
      <w:r>
        <w:t xml:space="preserve"> Pour la période antérieure à l’indépendance v. </w:t>
      </w:r>
      <w:r>
        <w:rPr>
          <w:i/>
          <w:iCs/>
        </w:rPr>
        <w:t>Les Constitutions de l’île Maurice (1723-1961)</w:t>
      </w:r>
      <w:r>
        <w:t>, textes réunis par D. Napal, Mauritius archives publications, Port Louis, Mauritius Printing Compagny, 1962.</w:t>
      </w:r>
    </w:p>
  </w:footnote>
  <w:footnote w:id="5">
    <w:p w:rsidR="002A1272" w:rsidRDefault="000D1194">
      <w:pPr>
        <w:pStyle w:val="Notedebasdepage"/>
        <w:jc w:val="both"/>
      </w:pPr>
      <w:r>
        <w:rPr>
          <w:vertAlign w:val="superscript"/>
        </w:rPr>
        <w:footnoteRef/>
      </w:r>
      <w:r>
        <w:t xml:space="preserve"> V. L. Favoreu,</w:t>
      </w:r>
      <w:r>
        <w:rPr>
          <w:i/>
          <w:iCs/>
        </w:rPr>
        <w:t xml:space="preserve"> L’île Maurice</w:t>
      </w:r>
      <w:r>
        <w:t xml:space="preserve">, </w:t>
      </w:r>
      <w:r>
        <w:rPr>
          <w:i/>
          <w:iCs/>
        </w:rPr>
        <w:t>op. cit</w:t>
      </w:r>
      <w:r>
        <w:t xml:space="preserve">., , </w:t>
      </w:r>
      <w:r>
        <w:t>pp. 25-29.</w:t>
      </w:r>
    </w:p>
  </w:footnote>
  <w:footnote w:id="6">
    <w:p w:rsidR="002A1272" w:rsidRDefault="000D1194">
      <w:pPr>
        <w:pStyle w:val="Notedebasdepage"/>
        <w:jc w:val="both"/>
      </w:pPr>
      <w:r>
        <w:rPr>
          <w:vertAlign w:val="superscript"/>
        </w:rPr>
        <w:footnoteRef/>
      </w:r>
      <w:r>
        <w:t xml:space="preserve"> Adopté par le Parlement britannique le 29 février 1968.</w:t>
      </w:r>
    </w:p>
  </w:footnote>
  <w:footnote w:id="7">
    <w:p w:rsidR="002A1272" w:rsidRDefault="000D1194">
      <w:pPr>
        <w:pStyle w:val="Notedebasdepage"/>
        <w:jc w:val="both"/>
      </w:pPr>
      <w:r>
        <w:rPr>
          <w:vertAlign w:val="superscript"/>
        </w:rPr>
        <w:footnoteRef/>
      </w:r>
      <w:r>
        <w:t xml:space="preserve"> En ce sens, J. Colom, « L’écriture dirigée par le Colonial Officiel de la Constitution mauricienne de 1968 », in J. Colom (dir.), </w:t>
      </w:r>
      <w:r>
        <w:rPr>
          <w:i/>
          <w:iCs/>
        </w:rPr>
        <w:t>Le développement constitutionnel dans les États du sud-</w:t>
      </w:r>
      <w:r>
        <w:rPr>
          <w:i/>
          <w:iCs/>
        </w:rPr>
        <w:t>ouest de l’océan Indien</w:t>
      </w:r>
      <w:r>
        <w:t xml:space="preserve">, Aix-en-Provence, PUAM, 2013, p. 24 et s. </w:t>
      </w:r>
    </w:p>
  </w:footnote>
  <w:footnote w:id="8">
    <w:p w:rsidR="002A1272" w:rsidRDefault="000D1194">
      <w:pPr>
        <w:pStyle w:val="Notedebasdepage"/>
        <w:jc w:val="both"/>
      </w:pPr>
      <w:r>
        <w:rPr>
          <w:vertAlign w:val="superscript"/>
        </w:rPr>
        <w:footnoteRef/>
      </w:r>
      <w:r>
        <w:t xml:space="preserve"> M. J. N. Meetarbhan, « L’évolution de la Constitution mauricienne depuis 1968 », </w:t>
      </w:r>
      <w:r>
        <w:rPr>
          <w:i/>
          <w:iCs/>
        </w:rPr>
        <w:t>Annuaire des Pays de l’océan Indien,</w:t>
      </w:r>
      <w:r>
        <w:t xml:space="preserve"> vol. XIV, 1995-1996, p. 25. </w:t>
      </w:r>
    </w:p>
  </w:footnote>
  <w:footnote w:id="9">
    <w:p w:rsidR="002A1272" w:rsidRDefault="000D1194">
      <w:pPr>
        <w:pStyle w:val="Notedebasdepage"/>
        <w:jc w:val="both"/>
      </w:pPr>
      <w:r>
        <w:rPr>
          <w:vertAlign w:val="superscript"/>
        </w:rPr>
        <w:footnoteRef/>
      </w:r>
      <w:r>
        <w:t xml:space="preserve"> Sur le processus politique et constitu</w:t>
      </w:r>
      <w:r>
        <w:t xml:space="preserve">tionnel conduisant à l’indépendance : M. Akung, « Vie politique et évolution constitutionnelle de Maurice - 1958-1968, in </w:t>
      </w:r>
      <w:r>
        <w:rPr>
          <w:i/>
          <w:iCs/>
        </w:rPr>
        <w:t>Le développement constitutionnel dans les États du sud-ouest de l’océan Indien</w:t>
      </w:r>
      <w:r>
        <w:t xml:space="preserve">, </w:t>
      </w:r>
      <w:r>
        <w:rPr>
          <w:i/>
          <w:iCs/>
        </w:rPr>
        <w:t>op. cit.</w:t>
      </w:r>
      <w:r>
        <w:t xml:space="preserve">, p. 43 et s. </w:t>
      </w:r>
    </w:p>
  </w:footnote>
  <w:footnote w:id="10">
    <w:p w:rsidR="002A1272" w:rsidRDefault="000D1194">
      <w:pPr>
        <w:pStyle w:val="Notedebasdepage"/>
        <w:jc w:val="both"/>
      </w:pPr>
      <w:r>
        <w:rPr>
          <w:vertAlign w:val="superscript"/>
        </w:rPr>
        <w:footnoteRef/>
      </w:r>
      <w:r>
        <w:tab/>
        <w:t>Bokassa</w:t>
      </w:r>
    </w:p>
  </w:footnote>
  <w:footnote w:id="11">
    <w:p w:rsidR="002A1272" w:rsidRDefault="000D1194">
      <w:pPr>
        <w:pStyle w:val="Notedebasdepage"/>
        <w:jc w:val="both"/>
      </w:pPr>
      <w:r>
        <w:rPr>
          <w:vertAlign w:val="superscript"/>
        </w:rPr>
        <w:footnoteRef/>
      </w:r>
      <w:r>
        <w:tab/>
        <w:t>Dico duhamel</w:t>
      </w:r>
    </w:p>
  </w:footnote>
  <w:footnote w:id="12">
    <w:p w:rsidR="002A1272" w:rsidRDefault="000D1194">
      <w:pPr>
        <w:pStyle w:val="Notedebasdepage"/>
        <w:jc w:val="both"/>
      </w:pPr>
      <w:r>
        <w:rPr>
          <w:vertAlign w:val="superscript"/>
        </w:rPr>
        <w:footnoteRef/>
      </w:r>
      <w:r>
        <w:tab/>
      </w:r>
      <w:r>
        <w:t>Constiution iran r</w:t>
      </w:r>
      <w:r>
        <w:t>épublique</w:t>
      </w:r>
    </w:p>
  </w:footnote>
  <w:footnote w:id="13">
    <w:p w:rsidR="002A1272" w:rsidRDefault="000D1194">
      <w:pPr>
        <w:pStyle w:val="Notedebasdepage"/>
        <w:jc w:val="both"/>
      </w:pPr>
      <w:r>
        <w:rPr>
          <w:vertAlign w:val="superscript"/>
        </w:rPr>
        <w:footnoteRef/>
      </w:r>
      <w:r>
        <w:t xml:space="preserve"> Les travaux de la doctrine consacrés à la Constitution mauricienne et plus encore au passage de la monarchie à le République sont limités aussi bien en langue anglaise que française. Pour la fondation de la Constitution mauric</w:t>
      </w:r>
      <w:r>
        <w:t xml:space="preserve">ienne il convient de se reporter à l’ouvrage précité de L. Favoreu paru en 1970. On peut se référer à l’ensemble des travaux de J. Colom, inauguré par sa thèse soutenue en 1989 sous la direction de L. Favoreu : </w:t>
      </w:r>
      <w:r>
        <w:rPr>
          <w:i/>
          <w:iCs/>
        </w:rPr>
        <w:t>La justice constitutionnelle dans les États d</w:t>
      </w:r>
      <w:r>
        <w:rPr>
          <w:i/>
          <w:iCs/>
        </w:rPr>
        <w:t>u nouveau Commonwealth : le cas de l’île Maurice</w:t>
      </w:r>
      <w:r>
        <w:t xml:space="preserve">, Aix-en-Provence, PUAM, Paris, Economica, 1994. Pour la constitution républicaine v. M. J. N. Meetarbhan, « L’évolution de la Constitution mauricienne depuis 1968 », </w:t>
      </w:r>
      <w:r>
        <w:rPr>
          <w:i/>
          <w:iCs/>
        </w:rPr>
        <w:t>Annuaire des Pays de l’océan Indie</w:t>
      </w:r>
      <w:r>
        <w:t>n, vol.</w:t>
      </w:r>
      <w:r>
        <w:t xml:space="preserve"> XIV, 1995-1996, pp. 23-40 et son ouvrage paru à l’occasion du cinquantenaire : </w:t>
      </w:r>
      <w:r>
        <w:rPr>
          <w:i/>
          <w:iCs/>
        </w:rPr>
        <w:t>Mauritian Constitutional Law. Constitution of Mauritius with Commentaries</w:t>
      </w:r>
      <w:r>
        <w:t xml:space="preserve">, Port Louis, Precigraph Limited , 2017, 333 p. </w:t>
      </w:r>
    </w:p>
  </w:footnote>
  <w:footnote w:id="14">
    <w:p w:rsidR="002A1272" w:rsidRDefault="000D1194">
      <w:pPr>
        <w:pStyle w:val="Notedebasdepage"/>
        <w:jc w:val="both"/>
      </w:pPr>
      <w:r>
        <w:rPr>
          <w:vertAlign w:val="superscript"/>
        </w:rPr>
        <w:footnoteRef/>
      </w:r>
      <w:r>
        <w:t xml:space="preserve"> « A sa naissance la république était l’absence d’un </w:t>
      </w:r>
      <w:r>
        <w:t xml:space="preserve">roi ». M.-P. Deswarte, </w:t>
      </w:r>
      <w:r>
        <w:rPr>
          <w:i/>
          <w:iCs/>
        </w:rPr>
        <w:t>Essai sur la nature juridique de la République</w:t>
      </w:r>
      <w:r>
        <w:t>, Paris, L’Harmattan, 2003, p. 71.</w:t>
      </w:r>
    </w:p>
  </w:footnote>
  <w:footnote w:id="15">
    <w:p w:rsidR="002A1272" w:rsidRDefault="000D1194">
      <w:pPr>
        <w:pStyle w:val="Notedebasdepage"/>
        <w:jc w:val="both"/>
      </w:pPr>
      <w:r>
        <w:rPr>
          <w:vertAlign w:val="superscript"/>
        </w:rPr>
        <w:footnoteRef/>
      </w:r>
      <w:r>
        <w:t xml:space="preserve"> Aristote, </w:t>
      </w:r>
      <w:r>
        <w:rPr>
          <w:i/>
          <w:iCs/>
        </w:rPr>
        <w:t>La politique</w:t>
      </w:r>
      <w:r>
        <w:t>, Livre III, Chapitre V.</w:t>
      </w:r>
    </w:p>
  </w:footnote>
  <w:footnote w:id="16">
    <w:p w:rsidR="002A1272" w:rsidRDefault="000D1194">
      <w:pPr>
        <w:pStyle w:val="Notedebasdepage"/>
        <w:jc w:val="both"/>
      </w:pPr>
      <w:r>
        <w:rPr>
          <w:vertAlign w:val="superscript"/>
        </w:rPr>
        <w:footnoteRef/>
      </w:r>
      <w:r>
        <w:t xml:space="preserve"> J.-L. Quermonne, in </w:t>
      </w:r>
      <w:r>
        <w:rPr>
          <w:i/>
          <w:iCs/>
        </w:rPr>
        <w:t>Dictionnaire constitutionnel</w:t>
      </w:r>
      <w:r>
        <w:t xml:space="preserve">, O. Duhamel et Y. Mény (dir.), PUF, 1992, p. 921 et </w:t>
      </w:r>
      <w:r>
        <w:t>s.</w:t>
      </w:r>
    </w:p>
  </w:footnote>
  <w:footnote w:id="17">
    <w:p w:rsidR="002A1272" w:rsidRDefault="000D1194">
      <w:pPr>
        <w:pStyle w:val="Notedebasdepage"/>
        <w:jc w:val="both"/>
      </w:pPr>
      <w:r>
        <w:rPr>
          <w:vertAlign w:val="superscript"/>
        </w:rPr>
        <w:footnoteRef/>
      </w:r>
      <w:r>
        <w:t xml:space="preserve"> G. ZAGREBELSKY : « il n’y a qu’une seule et unique maison : la République démocratique », RDP, 2007, n°1, op. cit., p. 140.PAS OP CIT XXXX</w:t>
      </w:r>
    </w:p>
  </w:footnote>
  <w:footnote w:id="18">
    <w:p w:rsidR="002A1272" w:rsidRDefault="000D1194">
      <w:pPr>
        <w:pStyle w:val="Notedebasdepage"/>
        <w:jc w:val="both"/>
      </w:pPr>
      <w:r>
        <w:rPr>
          <w:vertAlign w:val="superscript"/>
        </w:rPr>
        <w:footnoteRef/>
      </w:r>
      <w:r>
        <w:t xml:space="preserve"> V. B. de Smith, « Exporting the Westminster Model and the Constitution of Mauritius », in Mutations constituti</w:t>
      </w:r>
      <w:r>
        <w:t xml:space="preserve">onnelles dans l’océan Indien, Colloque international, Université de La Réunion, Faculté de droit et des sciences économiques et politiques, 6, 7et 8 avril, 1994 ; </w:t>
      </w:r>
      <w:r>
        <w:rPr>
          <w:i/>
          <w:iCs/>
        </w:rPr>
        <w:t>Annuaire des pays de l’océan Indien</w:t>
      </w:r>
      <w:r>
        <w:t>, vol. XIV, 1995-1996, p. 41 et s.</w:t>
      </w:r>
    </w:p>
  </w:footnote>
  <w:footnote w:id="19">
    <w:p w:rsidR="002A1272" w:rsidRDefault="000D1194">
      <w:pPr>
        <w:pStyle w:val="Notedebasdepage"/>
        <w:jc w:val="both"/>
      </w:pPr>
      <w:r>
        <w:rPr>
          <w:vertAlign w:val="superscript"/>
        </w:rPr>
        <w:footnoteRef/>
      </w:r>
      <w:r>
        <w:t xml:space="preserve">  C. Cadoux, « Panoram</w:t>
      </w:r>
      <w:r>
        <w:t xml:space="preserve">a des situations constitutionnelles dans la zone océan Indien », </w:t>
      </w:r>
      <w:r>
        <w:rPr>
          <w:i/>
          <w:iCs/>
        </w:rPr>
        <w:t>Annuaire des pays de l’océan Indien</w:t>
      </w:r>
      <w:r>
        <w:t>, vol XIII, 1993-1994, p. 263.</w:t>
      </w:r>
    </w:p>
  </w:footnote>
  <w:footnote w:id="20">
    <w:p w:rsidR="002A1272" w:rsidRDefault="000D1194">
      <w:pPr>
        <w:pStyle w:val="Notedebasdepage"/>
        <w:jc w:val="both"/>
      </w:pPr>
      <w:r>
        <w:rPr>
          <w:vertAlign w:val="superscript"/>
        </w:rPr>
        <w:footnoteRef/>
      </w:r>
      <w:r>
        <w:t xml:space="preserve"> S. Bhuckory, Our constitution, The Mauritius Printing Company, Port Louis, 1971, p. 10.</w:t>
      </w:r>
    </w:p>
  </w:footnote>
  <w:footnote w:id="21">
    <w:p w:rsidR="002A1272" w:rsidRDefault="000D1194">
      <w:pPr>
        <w:pStyle w:val="Notedebasdepage"/>
        <w:jc w:val="both"/>
      </w:pPr>
      <w:r>
        <w:rPr>
          <w:vertAlign w:val="superscript"/>
        </w:rPr>
        <w:footnoteRef/>
      </w:r>
      <w:r>
        <w:t xml:space="preserve"> J. Colom, « L’écriture dirigée pa</w:t>
      </w:r>
      <w:r>
        <w:t>r le Colonial Office de la Constitution mauricienne de 1964 », op. cit., p. 37.</w:t>
      </w:r>
    </w:p>
  </w:footnote>
  <w:footnote w:id="22">
    <w:p w:rsidR="002A1272" w:rsidRDefault="000D1194">
      <w:pPr>
        <w:pStyle w:val="Notedebasdepage"/>
        <w:jc w:val="both"/>
      </w:pPr>
      <w:r>
        <w:rPr>
          <w:vertAlign w:val="superscript"/>
        </w:rPr>
        <w:footnoteRef/>
      </w:r>
      <w:r>
        <w:t xml:space="preserve"> REFERENCES</w:t>
      </w:r>
    </w:p>
  </w:footnote>
  <w:footnote w:id="23">
    <w:p w:rsidR="002A1272" w:rsidRDefault="000D1194">
      <w:pPr>
        <w:pStyle w:val="Notedebasdepage"/>
        <w:jc w:val="both"/>
      </w:pPr>
      <w:r>
        <w:rPr>
          <w:vertAlign w:val="superscript"/>
        </w:rPr>
        <w:footnoteRef/>
      </w:r>
      <w:r>
        <w:t xml:space="preserve"> citer arrêt</w:t>
      </w:r>
    </w:p>
  </w:footnote>
  <w:footnote w:id="24">
    <w:p w:rsidR="002A1272" w:rsidRDefault="000D1194">
      <w:pPr>
        <w:pStyle w:val="Notedebasdepage"/>
        <w:jc w:val="both"/>
      </w:pPr>
      <w:r>
        <w:rPr>
          <w:vertAlign w:val="superscript"/>
        </w:rPr>
        <w:footnoteRef/>
      </w:r>
      <w:r>
        <w:t xml:space="preserve"> Meeterbhan</w:t>
      </w:r>
    </w:p>
  </w:footnote>
  <w:footnote w:id="25">
    <w:p w:rsidR="002A1272" w:rsidRDefault="000D1194">
      <w:pPr>
        <w:pStyle w:val="Notedebasdepage"/>
        <w:jc w:val="both"/>
      </w:pPr>
      <w:r>
        <w:rPr>
          <w:vertAlign w:val="superscript"/>
        </w:rPr>
        <w:footnoteRef/>
      </w:r>
      <w:r>
        <w:t xml:space="preserve"> L. Favoreu, </w:t>
      </w:r>
      <w:r>
        <w:rPr>
          <w:i/>
          <w:iCs/>
        </w:rPr>
        <w:t>op. cit</w:t>
      </w:r>
      <w:r>
        <w:t>., p. 36.</w:t>
      </w:r>
    </w:p>
  </w:footnote>
  <w:footnote w:id="26">
    <w:p w:rsidR="002A1272" w:rsidRDefault="000D1194">
      <w:pPr>
        <w:pStyle w:val="Notedebasdepage"/>
        <w:jc w:val="both"/>
      </w:pPr>
      <w:r>
        <w:rPr>
          <w:vertAlign w:val="superscript"/>
        </w:rPr>
        <w:footnoteRef/>
      </w:r>
      <w:r>
        <w:t xml:space="preserve"> S. Bhuckory, op. cit., p. 37.</w:t>
      </w:r>
    </w:p>
  </w:footnote>
  <w:footnote w:id="27">
    <w:p w:rsidR="002A1272" w:rsidRDefault="000D1194">
      <w:pPr>
        <w:pStyle w:val="Notedebasdepage"/>
        <w:jc w:val="both"/>
      </w:pPr>
      <w:r>
        <w:rPr>
          <w:vertAlign w:val="superscript"/>
        </w:rPr>
        <w:footnoteRef/>
      </w:r>
      <w:r>
        <w:t xml:space="preserve"> Article 31-1 de la Constitution.</w:t>
      </w:r>
    </w:p>
  </w:footnote>
  <w:footnote w:id="28">
    <w:p w:rsidR="002A1272" w:rsidRDefault="000D1194">
      <w:pPr>
        <w:pStyle w:val="Notedebasdepage"/>
        <w:jc w:val="both"/>
      </w:pPr>
      <w:r>
        <w:rPr>
          <w:vertAlign w:val="superscript"/>
        </w:rPr>
        <w:footnoteRef/>
      </w:r>
      <w:r>
        <w:t xml:space="preserve"> Best loser system</w:t>
      </w:r>
    </w:p>
  </w:footnote>
  <w:footnote w:id="29">
    <w:p w:rsidR="002A1272" w:rsidRDefault="000D1194">
      <w:pPr>
        <w:pStyle w:val="Notedebasdepage"/>
        <w:jc w:val="both"/>
      </w:pPr>
      <w:r>
        <w:rPr>
          <w:vertAlign w:val="superscript"/>
        </w:rPr>
        <w:footnoteRef/>
      </w:r>
      <w:r>
        <w:t xml:space="preserve"> </w:t>
      </w:r>
      <w:r>
        <w:t xml:space="preserve">Article 51-1 de la Constitution </w:t>
      </w:r>
    </w:p>
  </w:footnote>
  <w:footnote w:id="30">
    <w:p w:rsidR="002A1272" w:rsidRDefault="000D1194">
      <w:pPr>
        <w:pStyle w:val="Notedebasdepage"/>
        <w:jc w:val="both"/>
      </w:pPr>
      <w:r>
        <w:rPr>
          <w:vertAlign w:val="superscript"/>
        </w:rPr>
        <w:footnoteRef/>
      </w:r>
      <w:r>
        <w:t xml:space="preserve"> Op; cit., p. 40.</w:t>
      </w:r>
    </w:p>
  </w:footnote>
  <w:footnote w:id="31">
    <w:p w:rsidR="002A1272" w:rsidRDefault="000D1194">
      <w:pPr>
        <w:pStyle w:val="Notedebasdepage"/>
        <w:jc w:val="both"/>
      </w:pPr>
      <w:r>
        <w:rPr>
          <w:vertAlign w:val="superscript"/>
        </w:rPr>
        <w:footnoteRef/>
      </w:r>
      <w:r>
        <w:t xml:space="preserve"> J. Chan Low, « L’actualité du débat constitutionnel dans la vie politique à l’île Maurice », in </w:t>
      </w:r>
      <w:r>
        <w:rPr>
          <w:i/>
          <w:iCs/>
        </w:rPr>
        <w:t>Le développement constitutionnel dans les États du sud-ouest de l’océan Indien,</w:t>
      </w:r>
      <w:r>
        <w:t xml:space="preserve"> </w:t>
      </w:r>
      <w:r>
        <w:rPr>
          <w:i/>
          <w:iCs/>
        </w:rPr>
        <w:t>op. cit</w:t>
      </w:r>
      <w:r>
        <w:t>., p. 72.</w:t>
      </w:r>
    </w:p>
  </w:footnote>
  <w:footnote w:id="32">
    <w:p w:rsidR="002A1272" w:rsidRDefault="000D1194">
      <w:pPr>
        <w:pStyle w:val="Notedebasdepage"/>
        <w:jc w:val="both"/>
      </w:pPr>
      <w:r>
        <w:rPr>
          <w:vertAlign w:val="superscript"/>
        </w:rPr>
        <w:footnoteRef/>
      </w:r>
      <w:r>
        <w:t xml:space="preserve"> J. Colo</w:t>
      </w:r>
      <w:r>
        <w:t xml:space="preserve">m, « L’écriture dirigée par le Colonial Office de la Constitution mauricienne de 1964 », </w:t>
      </w:r>
      <w:r>
        <w:rPr>
          <w:i/>
          <w:iCs/>
        </w:rPr>
        <w:t>op. cit</w:t>
      </w:r>
      <w:r>
        <w:t>., p. 24.</w:t>
      </w:r>
    </w:p>
  </w:footnote>
  <w:footnote w:id="33">
    <w:p w:rsidR="002A1272" w:rsidRDefault="000D1194">
      <w:pPr>
        <w:pStyle w:val="Notedebasdepage"/>
        <w:jc w:val="both"/>
      </w:pPr>
      <w:r>
        <w:rPr>
          <w:vertAlign w:val="superscript"/>
        </w:rPr>
        <w:footnoteRef/>
      </w:r>
      <w:r>
        <w:t xml:space="preserve"> « In so far as basic rights and freedoms are concerned, the present Constitution draws inspiration from both English law and the European Convention</w:t>
      </w:r>
      <w:r>
        <w:t xml:space="preserve"> for the Protection of Human Rights and Fundamental Freedoms ».D. Ramsewak, </w:t>
      </w:r>
      <w:r>
        <w:rPr>
          <w:i/>
          <w:iCs/>
        </w:rPr>
        <w:t>The Constitution, its legal aspect and political philosophy</w:t>
      </w:r>
      <w:r>
        <w:t>, Port Louis, Proag printing limited, 1991, p. 15. Sur cette question de l’écriture du chapitre II : v. J. Colom, « L’écr</w:t>
      </w:r>
      <w:r>
        <w:t xml:space="preserve">iture dirigée par le Colonial Office de la Constitution mauricienne de 1964 », </w:t>
      </w:r>
      <w:r>
        <w:rPr>
          <w:i/>
          <w:iCs/>
        </w:rPr>
        <w:t>op. cit</w:t>
      </w:r>
      <w:r>
        <w:t>., p. 28 et s.</w:t>
      </w:r>
    </w:p>
  </w:footnote>
  <w:footnote w:id="34">
    <w:p w:rsidR="002A1272" w:rsidRDefault="000D1194">
      <w:pPr>
        <w:pStyle w:val="Notedebasdepage"/>
        <w:jc w:val="both"/>
      </w:pPr>
      <w:r>
        <w:rPr>
          <w:vertAlign w:val="superscript"/>
        </w:rPr>
        <w:footnoteRef/>
      </w:r>
      <w:r>
        <w:t xml:space="preserve"> V. V. Boolell, «TheInfluence of the European Convention on the Constitutional Law of Mauritius», E</w:t>
      </w:r>
      <w:r>
        <w:rPr>
          <w:i/>
          <w:iCs/>
        </w:rPr>
        <w:t>uropean Human Rights Law Review</w:t>
      </w:r>
      <w:r>
        <w:t>, 1996, p. 159 et s.PRCI</w:t>
      </w:r>
      <w:r>
        <w:t>SER la refer</w:t>
      </w:r>
    </w:p>
  </w:footnote>
  <w:footnote w:id="35">
    <w:p w:rsidR="002A1272" w:rsidRDefault="000D1194">
      <w:pPr>
        <w:pStyle w:val="Notedebasdepage"/>
        <w:jc w:val="both"/>
      </w:pPr>
      <w:r>
        <w:rPr>
          <w:vertAlign w:val="superscript"/>
        </w:rPr>
        <w:footnoteRef/>
      </w:r>
      <w:r>
        <w:t xml:space="preserve"> V. tableau réalisé par R. P. Gunputh et L. Sermet, « Ile Maurice et Seychelles », </w:t>
      </w:r>
      <w:r>
        <w:rPr>
          <w:i/>
          <w:iCs/>
        </w:rPr>
        <w:t>RFDC,</w:t>
      </w:r>
      <w:r>
        <w:t xml:space="preserve"> 2013, n°4, p. 1028. </w:t>
      </w:r>
    </w:p>
  </w:footnote>
  <w:footnote w:id="36">
    <w:p w:rsidR="002A1272" w:rsidRDefault="000D1194">
      <w:pPr>
        <w:pStyle w:val="Notedebasdepage"/>
        <w:jc w:val="both"/>
      </w:pPr>
      <w:r>
        <w:rPr>
          <w:vertAlign w:val="superscript"/>
        </w:rPr>
        <w:footnoteRef/>
      </w:r>
      <w:r>
        <w:t>Article 3 b).</w:t>
      </w:r>
    </w:p>
  </w:footnote>
  <w:footnote w:id="37">
    <w:p w:rsidR="002A1272" w:rsidRDefault="000D1194">
      <w:pPr>
        <w:pStyle w:val="Notedebasdepage"/>
        <w:jc w:val="both"/>
      </w:pPr>
      <w:r>
        <w:rPr>
          <w:vertAlign w:val="superscript"/>
        </w:rPr>
        <w:footnoteRef/>
      </w:r>
      <w:r>
        <w:t xml:space="preserve"> De la liberté de fonder des écoles </w:t>
      </w:r>
    </w:p>
  </w:footnote>
  <w:footnote w:id="38">
    <w:p w:rsidR="002A1272" w:rsidRDefault="000D1194">
      <w:pPr>
        <w:pStyle w:val="Notedebasdepage"/>
        <w:jc w:val="both"/>
      </w:pPr>
      <w:r>
        <w:rPr>
          <w:vertAlign w:val="superscript"/>
        </w:rPr>
        <w:footnoteRef/>
      </w:r>
      <w:r>
        <w:t xml:space="preserve"> Article 17 1 a)., ce </w:t>
      </w:r>
    </w:p>
  </w:footnote>
  <w:footnote w:id="39">
    <w:p w:rsidR="002A1272" w:rsidRDefault="000D1194">
      <w:pPr>
        <w:pStyle w:val="Notedebasdepage"/>
        <w:jc w:val="both"/>
      </w:pPr>
      <w:r>
        <w:rPr>
          <w:vertAlign w:val="superscript"/>
        </w:rPr>
        <w:footnoteRef/>
      </w:r>
      <w:r>
        <w:t xml:space="preserve"> Schengen et Maastricht XXXX p. 178. Au renfort de sa </w:t>
      </w:r>
      <w:r>
        <w:t xml:space="preserve">démonstration, le doyen Vedel cite la mention dans la Constitution suisse de disposition relative aux abattoirs ainsi que loi constitutionnelle du 10 août 1926, complétant la loi constitutionnelle du 25 février 1875 traitant de l’autonomie de la caisse de </w:t>
      </w:r>
      <w:r>
        <w:t xml:space="preserve">gestion des bons de la défense nationale et d'amortissement de la dette publique </w:t>
      </w:r>
    </w:p>
  </w:footnote>
  <w:footnote w:id="40">
    <w:p w:rsidR="002A1272" w:rsidRDefault="000D1194">
      <w:pPr>
        <w:pStyle w:val="Notedebasdepage"/>
        <w:jc w:val="both"/>
      </w:pPr>
      <w:r>
        <w:rPr>
          <w:vertAlign w:val="superscript"/>
        </w:rPr>
        <w:footnoteRef/>
      </w:r>
      <w:r>
        <w:t xml:space="preserve"> V. J. Colom, </w:t>
      </w:r>
      <w:r>
        <w:rPr>
          <w:i/>
          <w:iCs/>
        </w:rPr>
        <w:t>La justice constitutionnelle dans les États du nouveau Commonwealth : le cas de l’île Maurice, op. cit.</w:t>
      </w:r>
      <w:r>
        <w:t>, p. 162 et s.</w:t>
      </w:r>
    </w:p>
  </w:footnote>
  <w:footnote w:id="41">
    <w:p w:rsidR="002A1272" w:rsidRDefault="000D1194">
      <w:pPr>
        <w:pStyle w:val="Notedebasdepage"/>
        <w:jc w:val="both"/>
      </w:pPr>
      <w:r>
        <w:rPr>
          <w:vertAlign w:val="superscript"/>
        </w:rPr>
        <w:footnoteRef/>
      </w:r>
      <w:r>
        <w:t xml:space="preserve"> X. Philippe, « Les mutations </w:t>
      </w:r>
      <w:r>
        <w:t xml:space="preserve">constitutionnelles dans l’océan Indien. Les modèles de justice constitutionnelle », </w:t>
      </w:r>
      <w:r>
        <w:rPr>
          <w:i/>
          <w:iCs/>
        </w:rPr>
        <w:t>Annuaire des Pays de l’océan Indien</w:t>
      </w:r>
      <w:r>
        <w:t>, vol. XIII, 1992-1994, p. 304.</w:t>
      </w:r>
    </w:p>
  </w:footnote>
  <w:footnote w:id="42">
    <w:p w:rsidR="002A1272" w:rsidRDefault="000D1194">
      <w:pPr>
        <w:pStyle w:val="Notedebasdepage"/>
        <w:jc w:val="both"/>
      </w:pPr>
      <w:r>
        <w:rPr>
          <w:vertAlign w:val="superscript"/>
        </w:rPr>
        <w:footnoteRef/>
      </w:r>
      <w:r>
        <w:t xml:space="preserve"> V. J. Colom, </w:t>
      </w:r>
      <w:r>
        <w:rPr>
          <w:i/>
          <w:iCs/>
        </w:rPr>
        <w:t>op. cit.</w:t>
      </w:r>
      <w:r>
        <w:t>, pp. 24-28. Plus généralement pour tous les aspects relevant du contrôle de const</w:t>
      </w:r>
      <w:r>
        <w:t>itutionnalité des lois il convient de se reporter à cet ouvrage et aux articles l’actualisant. donner une xmeple récent de ColomXXX</w:t>
      </w:r>
    </w:p>
  </w:footnote>
  <w:footnote w:id="43">
    <w:p w:rsidR="002A1272" w:rsidRDefault="000D1194">
      <w:pPr>
        <w:pStyle w:val="Notedebasdepage"/>
        <w:jc w:val="both"/>
      </w:pPr>
      <w:r>
        <w:rPr>
          <w:vertAlign w:val="superscript"/>
        </w:rPr>
        <w:footnoteRef/>
      </w:r>
      <w:r>
        <w:t xml:space="preserve"> C. Boudet, « L’émergence de la démocratie consociative à Maurice », in </w:t>
      </w:r>
      <w:r>
        <w:rPr>
          <w:i/>
          <w:iCs/>
        </w:rPr>
        <w:t>Annuaire des Pays de l’océan Indien</w:t>
      </w:r>
      <w:r>
        <w:t>, XVII (2001-200</w:t>
      </w:r>
      <w:r>
        <w:t xml:space="preserve">2), p. 325. </w:t>
      </w:r>
    </w:p>
  </w:footnote>
  <w:footnote w:id="44">
    <w:p w:rsidR="002A1272" w:rsidRDefault="000D1194">
      <w:pPr>
        <w:pStyle w:val="Notedebasdepage"/>
        <w:jc w:val="both"/>
      </w:pPr>
      <w:r>
        <w:rPr>
          <w:vertAlign w:val="superscript"/>
        </w:rPr>
        <w:footnoteRef/>
      </w:r>
      <w:r>
        <w:t xml:space="preserve"> V. C. Boudet Catherine, « Émeutes et élections à Maurice. La mort de Kaya, aléa ou échec de la construction nationale ? », </w:t>
      </w:r>
      <w:r>
        <w:rPr>
          <w:i/>
          <w:iCs/>
        </w:rPr>
        <w:t>Politique africaine</w:t>
      </w:r>
      <w:r>
        <w:t>, 2000, n°3, p. 153 et s.</w:t>
      </w:r>
    </w:p>
  </w:footnote>
  <w:footnote w:id="45">
    <w:p w:rsidR="002A1272" w:rsidRDefault="000D1194">
      <w:pPr>
        <w:pStyle w:val="Notedebasdepage"/>
        <w:jc w:val="both"/>
      </w:pPr>
      <w:r>
        <w:rPr>
          <w:vertAlign w:val="superscript"/>
        </w:rPr>
        <w:footnoteRef/>
      </w:r>
      <w:r>
        <w:t xml:space="preserve"> Op. cit., p. 49.</w:t>
      </w:r>
    </w:p>
  </w:footnote>
  <w:footnote w:id="46">
    <w:p w:rsidR="002A1272" w:rsidRDefault="000D1194">
      <w:pPr>
        <w:pStyle w:val="Notedebasdepage"/>
        <w:jc w:val="both"/>
      </w:pPr>
      <w:r>
        <w:rPr>
          <w:vertAlign w:val="superscript"/>
        </w:rPr>
        <w:footnoteRef/>
      </w:r>
      <w:r>
        <w:t xml:space="preserve"> Pour celles intervenues entre 1968 et 1993, v. J. Co</w:t>
      </w:r>
      <w:r>
        <w:t>lom, op. cit., p. 206 et s.</w:t>
      </w:r>
    </w:p>
  </w:footnote>
  <w:footnote w:id="47">
    <w:p w:rsidR="002A1272" w:rsidRDefault="000D1194">
      <w:pPr>
        <w:pStyle w:val="Notedebasdepage"/>
        <w:jc w:val="both"/>
      </w:pPr>
      <w:r>
        <w:rPr>
          <w:vertAlign w:val="superscript"/>
        </w:rPr>
        <w:footnoteRef/>
      </w:r>
      <w:r>
        <w:t xml:space="preserve"> La Constitution de la république de Maurice en versions anglaise et française, Port Louis, Best Graphic Ltd, 1993, p. vi. </w:t>
      </w:r>
    </w:p>
  </w:footnote>
  <w:footnote w:id="48">
    <w:p w:rsidR="002A1272" w:rsidRDefault="000D1194">
      <w:pPr>
        <w:pStyle w:val="Notedebasdepage"/>
        <w:jc w:val="both"/>
      </w:pPr>
      <w:r>
        <w:rPr>
          <w:vertAlign w:val="superscript"/>
        </w:rPr>
        <w:footnoteRef/>
      </w:r>
      <w:r>
        <w:t xml:space="preserve"> J. Colom, </w:t>
      </w:r>
      <w:r>
        <w:rPr>
          <w:i/>
          <w:iCs/>
        </w:rPr>
        <w:t>op. cit</w:t>
      </w:r>
      <w:r>
        <w:t>., p. 217.</w:t>
      </w:r>
    </w:p>
  </w:footnote>
  <w:footnote w:id="49">
    <w:p w:rsidR="002A1272" w:rsidRDefault="000D1194">
      <w:pPr>
        <w:pStyle w:val="Notedebasdepage"/>
        <w:jc w:val="both"/>
      </w:pPr>
      <w:r>
        <w:rPr>
          <w:vertAlign w:val="superscript"/>
        </w:rPr>
        <w:footnoteRef/>
      </w:r>
      <w:r>
        <w:t xml:space="preserve"> V. J. Colom, La justice constitutionnelle dans les États du nouveau </w:t>
      </w:r>
      <w:r>
        <w:t xml:space="preserve">Commonwealth : le cas de l’île Maurice, </w:t>
      </w:r>
      <w:r>
        <w:rPr>
          <w:i/>
          <w:iCs/>
        </w:rPr>
        <w:t>op. cit</w:t>
      </w:r>
      <w:r>
        <w:t>., p. 165 et s.</w:t>
      </w:r>
    </w:p>
  </w:footnote>
  <w:footnote w:id="50">
    <w:p w:rsidR="002A1272" w:rsidRDefault="000D1194">
      <w:pPr>
        <w:pStyle w:val="Notedebasdepage"/>
        <w:jc w:val="both"/>
      </w:pPr>
      <w:r>
        <w:rPr>
          <w:vertAlign w:val="superscript"/>
        </w:rPr>
        <w:footnoteRef/>
      </w:r>
      <w:r>
        <w:t xml:space="preserve"> C. Cadoux, </w:t>
      </w:r>
      <w:r>
        <w:rPr>
          <w:i/>
          <w:iCs/>
        </w:rPr>
        <w:t>op. cit</w:t>
      </w:r>
      <w:r>
        <w:t>., 283.</w:t>
      </w:r>
    </w:p>
  </w:footnote>
  <w:footnote w:id="51">
    <w:p w:rsidR="002A1272" w:rsidRDefault="000D1194">
      <w:pPr>
        <w:pStyle w:val="Notedebasdepage"/>
        <w:jc w:val="both"/>
      </w:pPr>
      <w:r>
        <w:rPr>
          <w:vertAlign w:val="superscript"/>
        </w:rPr>
        <w:footnoteRef/>
      </w:r>
      <w:r>
        <w:t xml:space="preserve"> V. J. Chan Low, « Vie politique et élections générales de 1948 à 1965 », in J.-M. Jauze (dir.), </w:t>
      </w:r>
      <w:r>
        <w:rPr>
          <w:i/>
          <w:iCs/>
        </w:rPr>
        <w:t>L’ile Maurice face à ses nouveaux défis</w:t>
      </w:r>
      <w:r>
        <w:t xml:space="preserve">, Paris, L’Harmattan, 2008, </w:t>
      </w:r>
      <w:r>
        <w:t>pp. 71-72.</w:t>
      </w:r>
    </w:p>
  </w:footnote>
  <w:footnote w:id="52">
    <w:p w:rsidR="002A1272" w:rsidRDefault="000D1194">
      <w:pPr>
        <w:pStyle w:val="Notedebasdepage"/>
        <w:jc w:val="both"/>
      </w:pPr>
      <w:r>
        <w:rPr>
          <w:vertAlign w:val="superscript"/>
        </w:rPr>
        <w:footnoteRef/>
      </w:r>
      <w:r>
        <w:t xml:space="preserve"> A. et D. Cabanis, « L’influence du droit français liée au processus de colonisation-décolonisation », </w:t>
      </w:r>
      <w:r>
        <w:rPr>
          <w:i/>
          <w:iCs/>
        </w:rPr>
        <w:t>RJOI</w:t>
      </w:r>
      <w:r>
        <w:t>, 2005, n°5, p. 11.</w:t>
      </w:r>
    </w:p>
  </w:footnote>
  <w:footnote w:id="53">
    <w:p w:rsidR="002A1272" w:rsidRDefault="000D1194">
      <w:pPr>
        <w:pStyle w:val="Notedebasdepage"/>
        <w:jc w:val="both"/>
      </w:pPr>
      <w:r>
        <w:rPr>
          <w:vertAlign w:val="superscript"/>
        </w:rPr>
        <w:footnoteRef/>
      </w:r>
      <w:r>
        <w:t xml:space="preserve"> </w:t>
      </w:r>
      <w:r>
        <w:rPr>
          <w:i/>
          <w:iCs/>
        </w:rPr>
        <w:t>Idem</w:t>
      </w:r>
      <w:r>
        <w:t>.</w:t>
      </w:r>
    </w:p>
  </w:footnote>
  <w:footnote w:id="54">
    <w:p w:rsidR="002A1272" w:rsidRDefault="000D1194">
      <w:pPr>
        <w:pStyle w:val="Notedebasdepage"/>
        <w:jc w:val="both"/>
      </w:pPr>
      <w:r>
        <w:rPr>
          <w:vertAlign w:val="superscript"/>
        </w:rPr>
        <w:footnoteRef/>
      </w:r>
      <w:r>
        <w:t xml:space="preserve"> V. S. Rohlfing-Dijoux, « Droits francais et anglais réconciliés dans une synthèse originale du droit des af</w:t>
      </w:r>
      <w:r>
        <w:t xml:space="preserve">faires mauricien », in Le rayonnement du droit français dans le monde », </w:t>
      </w:r>
      <w:r>
        <w:rPr>
          <w:i/>
          <w:iCs/>
        </w:rPr>
        <w:t>RJOI</w:t>
      </w:r>
      <w:r>
        <w:t>, 2005, n°5, p. 65 et s.</w:t>
      </w:r>
    </w:p>
  </w:footnote>
  <w:footnote w:id="55">
    <w:p w:rsidR="002A1272" w:rsidRDefault="000D1194">
      <w:pPr>
        <w:pStyle w:val="Notedebasdepage"/>
        <w:jc w:val="both"/>
      </w:pPr>
      <w:r>
        <w:rPr>
          <w:vertAlign w:val="superscript"/>
        </w:rPr>
        <w:footnoteRef/>
      </w:r>
      <w:r>
        <w:t xml:space="preserve">Comme celles touchant au caractère linéaire des évolutions ou au faible rôle jouée par des influences personnelles, </w:t>
      </w:r>
      <w:r>
        <w:rPr>
          <w:i/>
          <w:iCs/>
        </w:rPr>
        <w:t>idem</w:t>
      </w:r>
      <w:r>
        <w:t>.</w:t>
      </w:r>
    </w:p>
  </w:footnote>
  <w:footnote w:id="56">
    <w:p w:rsidR="002A1272" w:rsidRDefault="000D1194">
      <w:pPr>
        <w:pStyle w:val="Notedebasdepage"/>
        <w:jc w:val="both"/>
      </w:pPr>
      <w:r>
        <w:rPr>
          <w:vertAlign w:val="superscript"/>
        </w:rPr>
        <w:footnoteRef/>
      </w:r>
      <w:r>
        <w:t xml:space="preserve"> </w:t>
      </w:r>
      <w:r>
        <w:rPr>
          <w:i/>
          <w:iCs/>
        </w:rPr>
        <w:t>Idem,</w:t>
      </w:r>
      <w:r>
        <w:t xml:space="preserve"> p. 25.</w:t>
      </w:r>
    </w:p>
  </w:footnote>
  <w:footnote w:id="57">
    <w:p w:rsidR="002A1272" w:rsidRDefault="000D1194">
      <w:pPr>
        <w:pStyle w:val="Notedebasdepage"/>
        <w:jc w:val="both"/>
      </w:pPr>
      <w:r>
        <w:rPr>
          <w:vertAlign w:val="superscript"/>
        </w:rPr>
        <w:footnoteRef/>
      </w:r>
      <w:r>
        <w:rPr>
          <w:i/>
          <w:iCs/>
        </w:rPr>
        <w:t xml:space="preserve"> Idem</w:t>
      </w:r>
      <w:r>
        <w:t>, pp. 23-2</w:t>
      </w:r>
      <w:r>
        <w:t>4.</w:t>
      </w:r>
    </w:p>
  </w:footnote>
  <w:footnote w:id="58">
    <w:p w:rsidR="002A1272" w:rsidRDefault="000D1194">
      <w:pPr>
        <w:pStyle w:val="Notedebasdepage"/>
        <w:jc w:val="both"/>
      </w:pPr>
      <w:r>
        <w:rPr>
          <w:vertAlign w:val="superscript"/>
        </w:rPr>
        <w:footnoteRef/>
      </w:r>
      <w:r>
        <w:rPr>
          <w:i/>
          <w:iCs/>
        </w:rPr>
        <w:t xml:space="preserve"> Op. ci</w:t>
      </w:r>
      <w:r>
        <w:t>t., p. 283. X. Philippe estime pareillement que  : la « physionomie de île Maurice ne s’en est pas trouvée bouleversée », Mutations et révisions constitutionnelles dans les pays de l’océan Indien », Annuaire international de justice constitution</w:t>
      </w:r>
      <w:r>
        <w:t xml:space="preserve">nelle, </w:t>
      </w:r>
      <w:r>
        <w:rPr>
          <w:i/>
          <w:iCs/>
        </w:rPr>
        <w:t>Annuaire international de justice constitutionnelle</w:t>
      </w:r>
      <w:r>
        <w:t>, 1994, vol. X, p. 158.</w:t>
      </w:r>
    </w:p>
  </w:footnote>
  <w:footnote w:id="59">
    <w:p w:rsidR="002A1272" w:rsidRDefault="000D1194">
      <w:pPr>
        <w:pStyle w:val="Notedebasdepage"/>
        <w:jc w:val="both"/>
      </w:pPr>
      <w:r>
        <w:rPr>
          <w:vertAlign w:val="superscript"/>
        </w:rPr>
        <w:footnoteRef/>
      </w:r>
      <w:r>
        <w:t xml:space="preserve"> L’article 58-1 dans sa version de 1968 retenait : « Le pouvoir exécutif à l’île Maurice s’incarne dans sa Majesté ».</w:t>
      </w:r>
    </w:p>
  </w:footnote>
  <w:footnote w:id="60">
    <w:p w:rsidR="002A1272" w:rsidRDefault="000D1194">
      <w:pPr>
        <w:pStyle w:val="Notedebasdepage"/>
        <w:jc w:val="both"/>
      </w:pPr>
      <w:r>
        <w:rPr>
          <w:vertAlign w:val="superscript"/>
        </w:rPr>
        <w:footnoteRef/>
      </w:r>
      <w:r>
        <w:t xml:space="preserve"> bayeux</w:t>
      </w:r>
    </w:p>
  </w:footnote>
  <w:footnote w:id="61">
    <w:p w:rsidR="002A1272" w:rsidRDefault="000D1194">
      <w:pPr>
        <w:pStyle w:val="Notedebasdepage"/>
        <w:jc w:val="both"/>
      </w:pPr>
      <w:r>
        <w:rPr>
          <w:vertAlign w:val="superscript"/>
        </w:rPr>
        <w:footnoteRef/>
      </w:r>
      <w:r>
        <w:t xml:space="preserve"> Article 27-2 b) de la Constitution.</w:t>
      </w:r>
    </w:p>
  </w:footnote>
  <w:footnote w:id="62">
    <w:p w:rsidR="002A1272" w:rsidRDefault="000D1194">
      <w:pPr>
        <w:pStyle w:val="Notedebasdepage"/>
        <w:jc w:val="both"/>
      </w:pPr>
      <w:r>
        <w:rPr>
          <w:vertAlign w:val="superscript"/>
        </w:rPr>
        <w:footnoteRef/>
      </w:r>
      <w:r>
        <w:t xml:space="preserve"> Articl</w:t>
      </w:r>
      <w:r>
        <w:t xml:space="preserve">e 30 et 30 A de la Constitution. V. M. J.N. Meetarbhan, </w:t>
      </w:r>
      <w:r>
        <w:rPr>
          <w:i/>
          <w:iCs/>
        </w:rPr>
        <w:t>Mauritian Constitutional Law</w:t>
      </w:r>
      <w:r>
        <w:t>…, op. cit., pp. 153-157.</w:t>
      </w:r>
    </w:p>
  </w:footnote>
  <w:footnote w:id="63">
    <w:p w:rsidR="002A1272" w:rsidRDefault="000D1194">
      <w:pPr>
        <w:pStyle w:val="Notedebasdepage"/>
        <w:jc w:val="both"/>
      </w:pPr>
      <w:r>
        <w:rPr>
          <w:vertAlign w:val="superscript"/>
        </w:rPr>
        <w:footnoteRef/>
      </w:r>
      <w:r>
        <w:t xml:space="preserve"> Article 59-3 de la Constitution.</w:t>
      </w:r>
    </w:p>
  </w:footnote>
  <w:footnote w:id="64">
    <w:p w:rsidR="002A1272" w:rsidRDefault="000D1194">
      <w:pPr>
        <w:pStyle w:val="Notedebasdepage"/>
        <w:jc w:val="both"/>
      </w:pPr>
      <w:r>
        <w:rPr>
          <w:vertAlign w:val="superscript"/>
        </w:rPr>
        <w:footnoteRef/>
      </w:r>
      <w:r>
        <w:t xml:space="preserve"> </w:t>
      </w:r>
      <w:r>
        <w:rPr>
          <w:i/>
          <w:iCs/>
        </w:rPr>
        <w:t>Idem</w:t>
      </w:r>
      <w:r>
        <w:t>.</w:t>
      </w:r>
    </w:p>
  </w:footnote>
  <w:footnote w:id="65">
    <w:p w:rsidR="002A1272" w:rsidRDefault="000D1194">
      <w:pPr>
        <w:pStyle w:val="Notedebasdepage"/>
        <w:jc w:val="both"/>
      </w:pPr>
      <w:r>
        <w:rPr>
          <w:vertAlign w:val="superscript"/>
        </w:rPr>
        <w:footnoteRef/>
      </w:r>
      <w:r>
        <w:t xml:space="preserve"> Article 65 de la Constitution.</w:t>
      </w:r>
    </w:p>
  </w:footnote>
  <w:footnote w:id="66">
    <w:p w:rsidR="002A1272" w:rsidRDefault="000D1194">
      <w:pPr>
        <w:pStyle w:val="Notedebasdepage"/>
        <w:jc w:val="both"/>
      </w:pPr>
      <w:r>
        <w:rPr>
          <w:vertAlign w:val="superscript"/>
        </w:rPr>
        <w:footnoteRef/>
      </w:r>
      <w:r>
        <w:t xml:space="preserve"> V., M. J.N. Meetarbhan, </w:t>
      </w:r>
      <w:r>
        <w:rPr>
          <w:i/>
          <w:iCs/>
        </w:rPr>
        <w:t>Mauritian Constitutional Law</w:t>
      </w:r>
      <w:r>
        <w:t xml:space="preserve">…, op. cit., p. </w:t>
      </w:r>
      <w:r>
        <w:t>150.</w:t>
      </w:r>
    </w:p>
  </w:footnote>
  <w:footnote w:id="67">
    <w:p w:rsidR="002A1272" w:rsidRDefault="000D1194">
      <w:pPr>
        <w:pStyle w:val="Notedebasdepage"/>
        <w:jc w:val="both"/>
      </w:pPr>
      <w:r>
        <w:rPr>
          <w:vertAlign w:val="superscript"/>
        </w:rPr>
        <w:footnoteRef/>
      </w:r>
      <w:r>
        <w:t xml:space="preserve"> </w:t>
      </w:r>
      <w:r>
        <w:rPr>
          <w:i/>
          <w:iCs/>
        </w:rPr>
        <w:t>Idem,</w:t>
      </w:r>
      <w:r>
        <w:t xml:space="preserve"> pp. 151-152.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72" w:rsidRDefault="002A1272">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C0868"/>
    <w:multiLevelType w:val="hybridMultilevel"/>
    <w:tmpl w:val="F12A7180"/>
    <w:numStyleLink w:val="Lettres"/>
  </w:abstractNum>
  <w:abstractNum w:abstractNumId="1">
    <w:nsid w:val="6A33684F"/>
    <w:multiLevelType w:val="hybridMultilevel"/>
    <w:tmpl w:val="F12A7180"/>
    <w:styleLink w:val="Lettres"/>
    <w:lvl w:ilvl="0" w:tplc="C7BE5D74">
      <w:start w:val="1"/>
      <w:numFmt w:val="upp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8BBE7918">
      <w:start w:val="1"/>
      <w:numFmt w:val="upp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24A0506E">
      <w:start w:val="1"/>
      <w:numFmt w:val="upp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111A91D0">
      <w:start w:val="1"/>
      <w:numFmt w:val="upp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73EEE6E6">
      <w:start w:val="1"/>
      <w:numFmt w:val="upp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C88E92F2">
      <w:start w:val="1"/>
      <w:numFmt w:val="upp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B07E469C">
      <w:start w:val="1"/>
      <w:numFmt w:val="upp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505A1C92">
      <w:start w:val="1"/>
      <w:numFmt w:val="upp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8B387F6A">
      <w:start w:val="1"/>
      <w:numFmt w:val="upp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09"/>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2A1272"/>
    <w:rsid w:val="000D1194"/>
    <w:rsid w:val="002A127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customStyle="1" w:styleId="Standard">
    <w:name w:val="Standard"/>
    <w:pPr>
      <w:widowControl w:val="0"/>
      <w:suppressAutoHyphens/>
    </w:pPr>
    <w:rPr>
      <w:rFonts w:cs="Arial Unicode MS"/>
      <w:color w:val="000000"/>
      <w:kern w:val="1"/>
      <w:sz w:val="24"/>
      <w:szCs w:val="24"/>
      <w:u w:color="000000"/>
    </w:rPr>
  </w:style>
  <w:style w:type="paragraph" w:styleId="Notedebasdepage">
    <w:name w:val="footnote text"/>
    <w:pPr>
      <w:widowControl w:val="0"/>
      <w:suppressAutoHyphens/>
      <w:ind w:left="283" w:hanging="283"/>
    </w:pPr>
    <w:rPr>
      <w:rFonts w:eastAsia="Times New Roman"/>
      <w:color w:val="000000"/>
      <w:kern w:val="1"/>
      <w:u w:color="000000"/>
    </w:rPr>
  </w:style>
  <w:style w:type="numbering" w:customStyle="1" w:styleId="Lettres">
    <w:name w:val="Lettres"/>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customStyle="1" w:styleId="Standard">
    <w:name w:val="Standard"/>
    <w:pPr>
      <w:widowControl w:val="0"/>
      <w:suppressAutoHyphens/>
    </w:pPr>
    <w:rPr>
      <w:rFonts w:cs="Arial Unicode MS"/>
      <w:color w:val="000000"/>
      <w:kern w:val="1"/>
      <w:sz w:val="24"/>
      <w:szCs w:val="24"/>
      <w:u w:color="000000"/>
    </w:rPr>
  </w:style>
  <w:style w:type="paragraph" w:styleId="Notedebasdepage">
    <w:name w:val="footnote text"/>
    <w:pPr>
      <w:widowControl w:val="0"/>
      <w:suppressAutoHyphens/>
      <w:ind w:left="283" w:hanging="283"/>
    </w:pPr>
    <w:rPr>
      <w:rFonts w:eastAsia="Times New Roman"/>
      <w:color w:val="000000"/>
      <w:kern w:val="1"/>
      <w:u w:color="000000"/>
    </w:rPr>
  </w:style>
  <w:style w:type="numbering" w:customStyle="1" w:styleId="Lettres">
    <w:name w:val="Lettre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5280</Words>
  <Characters>28465</Characters>
  <Application>Microsoft Macintosh Word</Application>
  <DocSecurity>0</DocSecurity>
  <Lines>412</Lines>
  <Paragraphs>51</Paragraphs>
  <ScaleCrop>false</ScaleCrop>
  <Company/>
  <LinksUpToDate>false</LinksUpToDate>
  <CharactersWithSpaces>33694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Didier Blanc</cp:lastModifiedBy>
  <cp:revision>2</cp:revision>
  <dcterms:created xsi:type="dcterms:W3CDTF">2019-06-18T16:18:00Z</dcterms:created>
  <dcterms:modified xsi:type="dcterms:W3CDTF">2019-06-18T16:18:00Z</dcterms:modified>
</cp:coreProperties>
</file>